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C1584" w14:textId="5976F4D0" w:rsidR="00083EC9" w:rsidRPr="00BD7C72" w:rsidRDefault="00083EC9" w:rsidP="0019016C">
      <w:pPr>
        <w:jc w:val="center"/>
        <w:rPr>
          <w:b/>
          <w:bCs/>
          <w:color w:val="000000" w:themeColor="text1"/>
          <w:sz w:val="32"/>
          <w:szCs w:val="32"/>
        </w:rPr>
      </w:pPr>
      <w:r w:rsidRPr="00BD7C72">
        <w:rPr>
          <w:b/>
          <w:bCs/>
          <w:color w:val="000000" w:themeColor="text1"/>
          <w:sz w:val="32"/>
          <w:szCs w:val="32"/>
        </w:rPr>
        <w:t>South Lanarkshire Adult Protection Committee</w:t>
      </w:r>
    </w:p>
    <w:p w14:paraId="01980776" w14:textId="4062F489" w:rsidR="00083EC9" w:rsidRPr="00BD7C72" w:rsidRDefault="00083EC9" w:rsidP="00083EC9">
      <w:pPr>
        <w:jc w:val="center"/>
        <w:rPr>
          <w:b/>
          <w:bCs/>
          <w:color w:val="000000" w:themeColor="text1"/>
          <w:sz w:val="44"/>
          <w:szCs w:val="44"/>
        </w:rPr>
      </w:pPr>
    </w:p>
    <w:p w14:paraId="2F4C0E3A" w14:textId="6C6BE376" w:rsidR="00083EC9" w:rsidRPr="00BD7C72" w:rsidRDefault="00083EC9" w:rsidP="00083EC9">
      <w:pPr>
        <w:jc w:val="center"/>
        <w:rPr>
          <w:b/>
          <w:bCs/>
          <w:color w:val="000000" w:themeColor="text1"/>
          <w:sz w:val="44"/>
          <w:szCs w:val="44"/>
        </w:rPr>
      </w:pPr>
    </w:p>
    <w:p w14:paraId="2FD52600" w14:textId="77777777" w:rsidR="00083EC9" w:rsidRPr="00BD7C72" w:rsidRDefault="00083EC9" w:rsidP="00083EC9">
      <w:pPr>
        <w:jc w:val="center"/>
        <w:rPr>
          <w:b/>
          <w:bCs/>
          <w:color w:val="000000" w:themeColor="text1"/>
          <w:sz w:val="44"/>
          <w:szCs w:val="44"/>
        </w:rPr>
      </w:pPr>
    </w:p>
    <w:p w14:paraId="1CEC9E26" w14:textId="344377C4" w:rsidR="00083EC9" w:rsidRPr="00BD7C72" w:rsidRDefault="00083EC9" w:rsidP="00083EC9">
      <w:pPr>
        <w:jc w:val="center"/>
        <w:rPr>
          <w:b/>
          <w:bCs/>
          <w:color w:val="000000" w:themeColor="text1"/>
          <w:sz w:val="44"/>
          <w:szCs w:val="44"/>
        </w:rPr>
      </w:pPr>
      <w:r w:rsidRPr="00BD7C72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en-GB"/>
        </w:rPr>
        <w:drawing>
          <wp:inline distT="0" distB="0" distL="0" distR="0" wp14:anchorId="4A364754" wp14:editId="3FD79007">
            <wp:extent cx="4818329" cy="1196047"/>
            <wp:effectExtent l="0" t="0" r="1905" b="4445"/>
            <wp:docPr id="1" name="Picture 1" descr="South Lanarkshire Adult Protection Committ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outh Lanarkshire Adult Protection Committee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951" cy="119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660CA" w14:textId="750C4FBA" w:rsidR="00083EC9" w:rsidRPr="00BD7C72" w:rsidRDefault="00083EC9" w:rsidP="00083EC9">
      <w:pPr>
        <w:jc w:val="center"/>
        <w:rPr>
          <w:b/>
          <w:bCs/>
          <w:color w:val="000000" w:themeColor="text1"/>
          <w:sz w:val="44"/>
          <w:szCs w:val="44"/>
        </w:rPr>
      </w:pPr>
    </w:p>
    <w:p w14:paraId="745B9AC9" w14:textId="77777777" w:rsidR="009A0FD6" w:rsidRPr="00BD7C72" w:rsidRDefault="009A0FD6" w:rsidP="00083EC9">
      <w:pPr>
        <w:jc w:val="center"/>
        <w:rPr>
          <w:b/>
          <w:bCs/>
          <w:color w:val="000000" w:themeColor="text1"/>
          <w:sz w:val="44"/>
          <w:szCs w:val="44"/>
        </w:rPr>
      </w:pPr>
    </w:p>
    <w:p w14:paraId="0FDE2B40" w14:textId="77777777" w:rsidR="00083EC9" w:rsidRPr="00BD7C72" w:rsidRDefault="00083EC9" w:rsidP="00083EC9">
      <w:pPr>
        <w:jc w:val="center"/>
        <w:rPr>
          <w:b/>
          <w:bCs/>
          <w:color w:val="000000" w:themeColor="text1"/>
          <w:sz w:val="44"/>
          <w:szCs w:val="44"/>
        </w:rPr>
      </w:pPr>
    </w:p>
    <w:p w14:paraId="36E67A9C" w14:textId="3C17652A" w:rsidR="00083EC9" w:rsidRPr="00BD7C72" w:rsidRDefault="00083EC9" w:rsidP="00083EC9">
      <w:pPr>
        <w:jc w:val="center"/>
        <w:rPr>
          <w:b/>
          <w:bCs/>
          <w:color w:val="000000" w:themeColor="text1"/>
          <w:sz w:val="44"/>
          <w:szCs w:val="44"/>
        </w:rPr>
      </w:pPr>
      <w:r w:rsidRPr="00BD7C72">
        <w:rPr>
          <w:b/>
          <w:bCs/>
          <w:color w:val="000000" w:themeColor="text1"/>
          <w:sz w:val="44"/>
          <w:szCs w:val="44"/>
        </w:rPr>
        <w:t>SMART Outcomes in Adult Protection</w:t>
      </w:r>
    </w:p>
    <w:p w14:paraId="2694FFF6" w14:textId="40096898" w:rsidR="00083EC9" w:rsidRPr="00BD7C72" w:rsidRDefault="0019016C" w:rsidP="00083EC9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November</w:t>
      </w:r>
      <w:r w:rsidR="00083EC9" w:rsidRPr="00BD7C72">
        <w:rPr>
          <w:b/>
          <w:bCs/>
          <w:color w:val="000000" w:themeColor="text1"/>
          <w:sz w:val="36"/>
          <w:szCs w:val="36"/>
        </w:rPr>
        <w:t xml:space="preserve"> 202</w:t>
      </w:r>
      <w:r w:rsidR="00916954">
        <w:rPr>
          <w:b/>
          <w:bCs/>
          <w:color w:val="000000" w:themeColor="text1"/>
          <w:sz w:val="36"/>
          <w:szCs w:val="36"/>
        </w:rPr>
        <w:t>4</w:t>
      </w:r>
    </w:p>
    <w:p w14:paraId="34DBE371" w14:textId="4536B4A6" w:rsidR="00083EC9" w:rsidRPr="00BD7C72" w:rsidRDefault="00083EC9" w:rsidP="00083EC9">
      <w:pPr>
        <w:jc w:val="center"/>
        <w:rPr>
          <w:b/>
          <w:bCs/>
          <w:color w:val="000000" w:themeColor="text1"/>
          <w:sz w:val="44"/>
          <w:szCs w:val="44"/>
        </w:rPr>
      </w:pPr>
    </w:p>
    <w:p w14:paraId="5EBD2AF4" w14:textId="1A25CD00" w:rsidR="00083EC9" w:rsidRPr="00BD7C72" w:rsidRDefault="00083EC9" w:rsidP="00083EC9">
      <w:pPr>
        <w:jc w:val="center"/>
        <w:rPr>
          <w:b/>
          <w:bCs/>
          <w:color w:val="000000" w:themeColor="text1"/>
          <w:sz w:val="44"/>
          <w:szCs w:val="44"/>
        </w:rPr>
      </w:pPr>
    </w:p>
    <w:p w14:paraId="1DB96532" w14:textId="77777777" w:rsidR="00083EC9" w:rsidRPr="00BD7C72" w:rsidRDefault="00083EC9" w:rsidP="0019016C">
      <w:pPr>
        <w:rPr>
          <w:b/>
          <w:bCs/>
          <w:color w:val="000000" w:themeColor="text1"/>
          <w:sz w:val="44"/>
          <w:szCs w:val="44"/>
        </w:rPr>
      </w:pPr>
    </w:p>
    <w:p w14:paraId="1BCB5CA2" w14:textId="552E3B63" w:rsidR="00083EC9" w:rsidRDefault="00083EC9" w:rsidP="00083EC9">
      <w:pPr>
        <w:jc w:val="center"/>
        <w:rPr>
          <w:rStyle w:val="Hyperlink"/>
          <w:b/>
          <w:bCs/>
          <w:color w:val="000000" w:themeColor="text1"/>
          <w:sz w:val="28"/>
          <w:szCs w:val="28"/>
        </w:rPr>
      </w:pPr>
      <w:hyperlink r:id="rId7" w:history="1">
        <w:r w:rsidRPr="00BD7C72">
          <w:rPr>
            <w:rStyle w:val="Hyperlink"/>
            <w:b/>
            <w:bCs/>
            <w:color w:val="000000" w:themeColor="text1"/>
            <w:sz w:val="28"/>
            <w:szCs w:val="28"/>
          </w:rPr>
          <w:t>www.adultprotectionsouthlanarkshire.org.uk</w:t>
        </w:r>
      </w:hyperlink>
    </w:p>
    <w:p w14:paraId="059AA667" w14:textId="18EE6608" w:rsidR="0019016C" w:rsidRDefault="0019016C" w:rsidP="00083EC9">
      <w:pPr>
        <w:jc w:val="center"/>
        <w:rPr>
          <w:rStyle w:val="Hyperlink"/>
          <w:b/>
          <w:bCs/>
          <w:color w:val="000000" w:themeColor="text1"/>
          <w:sz w:val="28"/>
          <w:szCs w:val="28"/>
        </w:rPr>
      </w:pPr>
    </w:p>
    <w:p w14:paraId="0CCD059E" w14:textId="305D4788" w:rsidR="0019016C" w:rsidRDefault="0019016C" w:rsidP="00083EC9">
      <w:pPr>
        <w:jc w:val="center"/>
        <w:rPr>
          <w:rStyle w:val="Hyperlink"/>
          <w:b/>
          <w:bCs/>
          <w:color w:val="000000" w:themeColor="text1"/>
          <w:sz w:val="28"/>
          <w:szCs w:val="28"/>
        </w:rPr>
      </w:pPr>
    </w:p>
    <w:p w14:paraId="058DEAAD" w14:textId="57E1297C" w:rsidR="0019016C" w:rsidRPr="0019016C" w:rsidRDefault="0019016C" w:rsidP="0019016C">
      <w:pPr>
        <w:rPr>
          <w:rStyle w:val="Hyperlink"/>
          <w:color w:val="000000" w:themeColor="text1"/>
          <w:u w:val="none"/>
        </w:rPr>
      </w:pPr>
      <w:r w:rsidRPr="0019016C">
        <w:rPr>
          <w:rStyle w:val="Hyperlink"/>
          <w:color w:val="000000" w:themeColor="text1"/>
          <w:u w:val="none"/>
        </w:rPr>
        <w:t>Developed: November 2022</w:t>
      </w:r>
    </w:p>
    <w:p w14:paraId="74014F03" w14:textId="6B202848" w:rsidR="0019016C" w:rsidRDefault="0019016C" w:rsidP="0019016C">
      <w:pPr>
        <w:rPr>
          <w:rStyle w:val="Hyperlink"/>
          <w:color w:val="000000" w:themeColor="text1"/>
          <w:u w:val="none"/>
        </w:rPr>
      </w:pPr>
      <w:r w:rsidRPr="0019016C">
        <w:rPr>
          <w:rStyle w:val="Hyperlink"/>
          <w:color w:val="000000" w:themeColor="text1"/>
          <w:u w:val="none"/>
        </w:rPr>
        <w:t>Review</w:t>
      </w:r>
      <w:r w:rsidR="00291153">
        <w:rPr>
          <w:rStyle w:val="Hyperlink"/>
          <w:color w:val="000000" w:themeColor="text1"/>
          <w:u w:val="none"/>
        </w:rPr>
        <w:t>ed</w:t>
      </w:r>
      <w:r w:rsidRPr="0019016C">
        <w:rPr>
          <w:rStyle w:val="Hyperlink"/>
          <w:color w:val="000000" w:themeColor="text1"/>
          <w:u w:val="none"/>
        </w:rPr>
        <w:t>: November 202</w:t>
      </w:r>
      <w:r w:rsidR="00536C15">
        <w:rPr>
          <w:rStyle w:val="Hyperlink"/>
          <w:color w:val="000000" w:themeColor="text1"/>
          <w:u w:val="none"/>
        </w:rPr>
        <w:t>4</w:t>
      </w:r>
    </w:p>
    <w:p w14:paraId="5851E180" w14:textId="635F1E1D" w:rsidR="00291153" w:rsidRPr="0019016C" w:rsidRDefault="00291153" w:rsidP="0019016C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Review Date: November 2026 </w:t>
      </w:r>
    </w:p>
    <w:p w14:paraId="213B8E49" w14:textId="77777777" w:rsidR="00291153" w:rsidRDefault="00291153" w:rsidP="00783969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87DF336" w14:textId="531329E8" w:rsidR="000909D3" w:rsidRPr="00BD7C72" w:rsidRDefault="000909D3" w:rsidP="00783969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BD7C72">
        <w:rPr>
          <w:rFonts w:ascii="Arial" w:hAnsi="Arial" w:cs="Arial"/>
          <w:b/>
          <w:bCs/>
          <w:color w:val="000000" w:themeColor="text1"/>
          <w:u w:val="single"/>
        </w:rPr>
        <w:t xml:space="preserve">Introduction </w:t>
      </w:r>
    </w:p>
    <w:p w14:paraId="3A2FC036" w14:textId="4D3F6EA4" w:rsidR="000909D3" w:rsidRPr="00BD7C72" w:rsidRDefault="000909D3" w:rsidP="00783969">
      <w:pPr>
        <w:jc w:val="both"/>
        <w:rPr>
          <w:rFonts w:ascii="Arial" w:hAnsi="Arial" w:cs="Arial"/>
          <w:strike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 xml:space="preserve">South Lanarkshire Adult Protection Committee (SLAPC) </w:t>
      </w:r>
      <w:r w:rsidR="00331A66" w:rsidRPr="00BD7C72">
        <w:rPr>
          <w:rFonts w:ascii="Arial" w:hAnsi="Arial" w:cs="Arial"/>
          <w:color w:val="000000" w:themeColor="text1"/>
        </w:rPr>
        <w:t>supports</w:t>
      </w:r>
      <w:r w:rsidRPr="00BD7C72">
        <w:rPr>
          <w:rFonts w:ascii="Arial" w:hAnsi="Arial" w:cs="Arial"/>
          <w:color w:val="000000" w:themeColor="text1"/>
        </w:rPr>
        <w:t xml:space="preserve"> practitioners and managers across the multi-agency workforce including Police, Social Work, Health, Housing and Voluntary Organisations in supporting and protectin</w:t>
      </w:r>
      <w:r w:rsidR="00766E25" w:rsidRPr="00BD7C72">
        <w:rPr>
          <w:rFonts w:ascii="Arial" w:hAnsi="Arial" w:cs="Arial"/>
          <w:color w:val="000000" w:themeColor="text1"/>
        </w:rPr>
        <w:t>g</w:t>
      </w:r>
      <w:r w:rsidRPr="00BD7C72">
        <w:rPr>
          <w:rFonts w:ascii="Arial" w:hAnsi="Arial" w:cs="Arial"/>
          <w:color w:val="000000" w:themeColor="text1"/>
        </w:rPr>
        <w:t xml:space="preserve"> adults at risk of harm. </w:t>
      </w:r>
    </w:p>
    <w:p w14:paraId="30D56A1E" w14:textId="4F7F1378" w:rsidR="00876721" w:rsidRPr="00BD7C72" w:rsidRDefault="000909D3" w:rsidP="00783969">
      <w:p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>The focus of this guid</w:t>
      </w:r>
      <w:r w:rsidR="00C847BA" w:rsidRPr="00BD7C72">
        <w:rPr>
          <w:rFonts w:ascii="Arial" w:hAnsi="Arial" w:cs="Arial"/>
          <w:color w:val="000000" w:themeColor="text1"/>
        </w:rPr>
        <w:t>ance</w:t>
      </w:r>
      <w:r w:rsidRPr="00BD7C72">
        <w:rPr>
          <w:rFonts w:ascii="Arial" w:hAnsi="Arial" w:cs="Arial"/>
          <w:color w:val="000000" w:themeColor="text1"/>
        </w:rPr>
        <w:t xml:space="preserve"> is to encourage practitioners to work and think </w:t>
      </w:r>
      <w:r w:rsidRPr="00BD7C72">
        <w:rPr>
          <w:rFonts w:ascii="Arial" w:hAnsi="Arial" w:cs="Arial"/>
          <w:b/>
          <w:bCs/>
          <w:color w:val="000000" w:themeColor="text1"/>
        </w:rPr>
        <w:t>SMART</w:t>
      </w:r>
      <w:r w:rsidRPr="00BD7C72">
        <w:rPr>
          <w:rFonts w:ascii="Arial" w:hAnsi="Arial" w:cs="Arial"/>
          <w:color w:val="000000" w:themeColor="text1"/>
        </w:rPr>
        <w:t xml:space="preserve"> and be able to evidence improved outcomes for adults at risk of harm </w:t>
      </w:r>
      <w:r w:rsidR="00B12D27" w:rsidRPr="00BD7C72">
        <w:rPr>
          <w:rFonts w:ascii="Arial" w:hAnsi="Arial" w:cs="Arial"/>
          <w:color w:val="000000" w:themeColor="text1"/>
        </w:rPr>
        <w:t>in South Lanarkshire with</w:t>
      </w:r>
      <w:r w:rsidRPr="00BD7C72">
        <w:rPr>
          <w:rFonts w:ascii="Arial" w:hAnsi="Arial" w:cs="Arial"/>
          <w:color w:val="000000" w:themeColor="text1"/>
        </w:rPr>
        <w:t xml:space="preserve">in the </w:t>
      </w:r>
      <w:r w:rsidR="00876721" w:rsidRPr="00BD7C72">
        <w:rPr>
          <w:rFonts w:ascii="Arial" w:hAnsi="Arial" w:cs="Arial"/>
          <w:color w:val="000000" w:themeColor="text1"/>
        </w:rPr>
        <w:t>Adults</w:t>
      </w:r>
      <w:r w:rsidRPr="00BD7C72">
        <w:rPr>
          <w:rFonts w:ascii="Arial" w:hAnsi="Arial" w:cs="Arial"/>
          <w:color w:val="000000" w:themeColor="text1"/>
        </w:rPr>
        <w:t xml:space="preserve">’ </w:t>
      </w:r>
      <w:r w:rsidR="00876721" w:rsidRPr="00BD7C72">
        <w:rPr>
          <w:rFonts w:ascii="Arial" w:hAnsi="Arial" w:cs="Arial"/>
          <w:color w:val="000000" w:themeColor="text1"/>
        </w:rPr>
        <w:t xml:space="preserve">Protection </w:t>
      </w:r>
      <w:r w:rsidRPr="00BD7C72">
        <w:rPr>
          <w:rFonts w:ascii="Arial" w:hAnsi="Arial" w:cs="Arial"/>
          <w:color w:val="000000" w:themeColor="text1"/>
        </w:rPr>
        <w:t>Plan</w:t>
      </w:r>
      <w:r w:rsidR="00331A66" w:rsidRPr="00BD7C72">
        <w:rPr>
          <w:rFonts w:ascii="Arial" w:hAnsi="Arial" w:cs="Arial"/>
          <w:color w:val="000000" w:themeColor="text1"/>
        </w:rPr>
        <w:t xml:space="preserve"> (AP3)</w:t>
      </w:r>
      <w:r w:rsidR="00083EC9" w:rsidRPr="00BD7C72">
        <w:rPr>
          <w:rFonts w:ascii="Arial" w:hAnsi="Arial" w:cs="Arial"/>
          <w:color w:val="000000" w:themeColor="text1"/>
        </w:rPr>
        <w:t xml:space="preserve"> (</w:t>
      </w:r>
      <w:r w:rsidR="00C847BA" w:rsidRPr="00BD7C72">
        <w:rPr>
          <w:rFonts w:ascii="Arial" w:hAnsi="Arial" w:cs="Arial"/>
          <w:color w:val="000000" w:themeColor="text1"/>
        </w:rPr>
        <w:t>A</w:t>
      </w:r>
      <w:r w:rsidR="00083EC9" w:rsidRPr="00BD7C72">
        <w:rPr>
          <w:rFonts w:ascii="Arial" w:hAnsi="Arial" w:cs="Arial"/>
          <w:color w:val="000000" w:themeColor="text1"/>
        </w:rPr>
        <w:t>ppendix 1)</w:t>
      </w:r>
      <w:r w:rsidR="00876721" w:rsidRPr="00BD7C72">
        <w:rPr>
          <w:rFonts w:ascii="Arial" w:hAnsi="Arial" w:cs="Arial"/>
          <w:color w:val="000000" w:themeColor="text1"/>
        </w:rPr>
        <w:t>.</w:t>
      </w:r>
    </w:p>
    <w:p w14:paraId="4D68D537" w14:textId="77777777" w:rsidR="00083EC9" w:rsidRPr="00BD7C72" w:rsidRDefault="00083EC9" w:rsidP="00783969">
      <w:pPr>
        <w:jc w:val="both"/>
        <w:rPr>
          <w:rFonts w:ascii="Arial" w:hAnsi="Arial" w:cs="Arial"/>
          <w:color w:val="000000" w:themeColor="text1"/>
        </w:rPr>
      </w:pPr>
    </w:p>
    <w:p w14:paraId="300EC72E" w14:textId="7C16EF9A" w:rsidR="008A1D94" w:rsidRPr="00BD7C72" w:rsidRDefault="008A1D94" w:rsidP="00783969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BD7C72">
        <w:rPr>
          <w:rFonts w:ascii="Arial" w:hAnsi="Arial" w:cs="Arial"/>
          <w:b/>
          <w:bCs/>
          <w:color w:val="000000" w:themeColor="text1"/>
          <w:u w:val="single"/>
        </w:rPr>
        <w:t>Adult Support and Protection</w:t>
      </w:r>
      <w:r w:rsidR="00B632A8" w:rsidRPr="00BD7C72">
        <w:rPr>
          <w:rFonts w:ascii="Arial" w:hAnsi="Arial" w:cs="Arial"/>
          <w:b/>
          <w:bCs/>
          <w:color w:val="000000" w:themeColor="text1"/>
          <w:u w:val="single"/>
        </w:rPr>
        <w:t xml:space="preserve"> (Context) </w:t>
      </w:r>
    </w:p>
    <w:p w14:paraId="305CB555" w14:textId="77777777" w:rsidR="00E738E7" w:rsidRPr="00BD7C72" w:rsidRDefault="00E738E7" w:rsidP="0078396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C72">
        <w:rPr>
          <w:rFonts w:ascii="Arial" w:hAnsi="Arial" w:cs="Arial"/>
          <w:color w:val="000000" w:themeColor="text1"/>
          <w:sz w:val="22"/>
          <w:szCs w:val="22"/>
        </w:rPr>
        <w:t>The </w:t>
      </w:r>
      <w:hyperlink r:id="rId8" w:tgtFrame="_blank" w:tooltip="opens new tab" w:history="1">
        <w:r w:rsidRPr="00BD7C72">
          <w:rPr>
            <w:rStyle w:val="Strong"/>
            <w:rFonts w:ascii="Arial" w:hAnsi="Arial" w:cs="Arial"/>
            <w:color w:val="000000" w:themeColor="text1"/>
            <w:sz w:val="22"/>
            <w:szCs w:val="22"/>
          </w:rPr>
          <w:t>Adult Support and Protection (Scotland) Act 2007</w:t>
        </w:r>
      </w:hyperlink>
      <w:r w:rsidRPr="00BD7C72">
        <w:rPr>
          <w:rFonts w:ascii="Arial" w:hAnsi="Arial" w:cs="Arial"/>
          <w:color w:val="000000" w:themeColor="text1"/>
          <w:sz w:val="22"/>
          <w:szCs w:val="22"/>
        </w:rPr>
        <w:t> provides the legislative framework for Adult Support and Protection in Scotland. The Act defines 'adults at risk' as individuals, aged 16 years or over, who:</w:t>
      </w:r>
    </w:p>
    <w:p w14:paraId="6FA53B18" w14:textId="77777777" w:rsidR="00E738E7" w:rsidRPr="00BD7C72" w:rsidRDefault="00E738E7" w:rsidP="0078396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 xml:space="preserve">Are unable to safeguard themselves, their property, rights or other </w:t>
      </w:r>
      <w:proofErr w:type="gramStart"/>
      <w:r w:rsidRPr="00BD7C72">
        <w:rPr>
          <w:rFonts w:ascii="Arial" w:hAnsi="Arial" w:cs="Arial"/>
          <w:color w:val="000000" w:themeColor="text1"/>
        </w:rPr>
        <w:t>interests;</w:t>
      </w:r>
      <w:proofErr w:type="gramEnd"/>
    </w:p>
    <w:p w14:paraId="30D8F0EB" w14:textId="77777777" w:rsidR="00E738E7" w:rsidRPr="00BD7C72" w:rsidRDefault="00E738E7" w:rsidP="0078396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>Are at risk of harm; and</w:t>
      </w:r>
    </w:p>
    <w:p w14:paraId="0D9F421D" w14:textId="77777777" w:rsidR="00E738E7" w:rsidRPr="00BD7C72" w:rsidRDefault="00E738E7" w:rsidP="0078396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>Because they are affected by disability, mental disorder, illness or physical or mental infirmity, are more vulnerable to being harmed than others who are not so affected.</w:t>
      </w:r>
    </w:p>
    <w:p w14:paraId="31B804BD" w14:textId="71DB5E92" w:rsidR="00E738E7" w:rsidRPr="00BD7C72" w:rsidRDefault="00E738E7" w:rsidP="0078396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C72">
        <w:rPr>
          <w:rFonts w:ascii="Arial" w:hAnsi="Arial" w:cs="Arial"/>
          <w:color w:val="000000" w:themeColor="text1"/>
          <w:sz w:val="22"/>
          <w:szCs w:val="22"/>
        </w:rPr>
        <w:t xml:space="preserve">The Act states that any intervention in an individual's affairs should provide benefit to the </w:t>
      </w:r>
      <w:r w:rsidR="00B12D27" w:rsidRPr="00BD7C72">
        <w:rPr>
          <w:rFonts w:ascii="Arial" w:hAnsi="Arial" w:cs="Arial"/>
          <w:color w:val="000000" w:themeColor="text1"/>
          <w:sz w:val="22"/>
          <w:szCs w:val="22"/>
        </w:rPr>
        <w:t>individual and</w:t>
      </w:r>
      <w:r w:rsidRPr="00BD7C72">
        <w:rPr>
          <w:rFonts w:ascii="Arial" w:hAnsi="Arial" w:cs="Arial"/>
          <w:color w:val="000000" w:themeColor="text1"/>
          <w:sz w:val="22"/>
          <w:szCs w:val="22"/>
        </w:rPr>
        <w:t xml:space="preserve"> should be the least restrictive option of those that are available which will meet the purpose of the intervention.</w:t>
      </w:r>
    </w:p>
    <w:p w14:paraId="7B9A94F5" w14:textId="77777777" w:rsidR="00E738E7" w:rsidRPr="00BD7C72" w:rsidRDefault="00E738E7" w:rsidP="0078396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C72">
        <w:rPr>
          <w:rFonts w:ascii="Arial" w:hAnsi="Arial" w:cs="Arial"/>
          <w:color w:val="000000" w:themeColor="text1"/>
          <w:sz w:val="22"/>
          <w:szCs w:val="22"/>
        </w:rPr>
        <w:t>In addition, the Act states that those undertaking adult support and protection work should have regard for:</w:t>
      </w:r>
    </w:p>
    <w:p w14:paraId="74517416" w14:textId="77777777" w:rsidR="00E738E7" w:rsidRPr="00BD7C72" w:rsidRDefault="00E738E7" w:rsidP="007839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>The wishes and feelings of the adult at risk (past and present</w:t>
      </w:r>
      <w:proofErr w:type="gramStart"/>
      <w:r w:rsidRPr="00BD7C72">
        <w:rPr>
          <w:rFonts w:ascii="Arial" w:hAnsi="Arial" w:cs="Arial"/>
          <w:color w:val="000000" w:themeColor="text1"/>
        </w:rPr>
        <w:t>);</w:t>
      </w:r>
      <w:proofErr w:type="gramEnd"/>
    </w:p>
    <w:p w14:paraId="73DF5E35" w14:textId="77777777" w:rsidR="00E738E7" w:rsidRPr="00BD7C72" w:rsidRDefault="00E738E7" w:rsidP="007839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 xml:space="preserve">The views of other significant individuals, such as the adult's nearest relative; their primary carer, guardian, or attorney; or any other person with an interest in the adult's well-being or </w:t>
      </w:r>
      <w:proofErr w:type="gramStart"/>
      <w:r w:rsidRPr="00BD7C72">
        <w:rPr>
          <w:rFonts w:ascii="Arial" w:hAnsi="Arial" w:cs="Arial"/>
          <w:color w:val="000000" w:themeColor="text1"/>
        </w:rPr>
        <w:t>property;</w:t>
      </w:r>
      <w:proofErr w:type="gramEnd"/>
    </w:p>
    <w:p w14:paraId="5B2E1EF3" w14:textId="77777777" w:rsidR="00E738E7" w:rsidRPr="00BD7C72" w:rsidRDefault="00E738E7" w:rsidP="007839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 xml:space="preserve">The importance of the adult taking an active part in the performance of the function under the </w:t>
      </w:r>
      <w:proofErr w:type="gramStart"/>
      <w:r w:rsidRPr="00BD7C72">
        <w:rPr>
          <w:rFonts w:ascii="Arial" w:hAnsi="Arial" w:cs="Arial"/>
          <w:color w:val="000000" w:themeColor="text1"/>
        </w:rPr>
        <w:t>Act;</w:t>
      </w:r>
      <w:proofErr w:type="gramEnd"/>
    </w:p>
    <w:p w14:paraId="13662852" w14:textId="77777777" w:rsidR="00E738E7" w:rsidRPr="00BD7C72" w:rsidRDefault="00E738E7" w:rsidP="007839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 xml:space="preserve">Providing the adult with the relevant information and support to enable them to participate as fully as </w:t>
      </w:r>
      <w:proofErr w:type="gramStart"/>
      <w:r w:rsidRPr="00BD7C72">
        <w:rPr>
          <w:rFonts w:ascii="Arial" w:hAnsi="Arial" w:cs="Arial"/>
          <w:color w:val="000000" w:themeColor="text1"/>
        </w:rPr>
        <w:t>possible;</w:t>
      </w:r>
      <w:proofErr w:type="gramEnd"/>
    </w:p>
    <w:p w14:paraId="512595AC" w14:textId="77777777" w:rsidR="00E738E7" w:rsidRPr="00BD7C72" w:rsidRDefault="00E738E7" w:rsidP="007839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>The importance of ensuring that the adult is not treated less favourably than another adult in a comparable situation; and</w:t>
      </w:r>
    </w:p>
    <w:p w14:paraId="29EBD70E" w14:textId="77777777" w:rsidR="00E738E7" w:rsidRPr="00BD7C72" w:rsidRDefault="00E738E7" w:rsidP="007839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>The adult's abilities, background and characteristics (including their age, sex, sexual orientation, religious persuasion, racial origin, ethnic group and cultural and linguistic heritage).</w:t>
      </w:r>
    </w:p>
    <w:p w14:paraId="57A5F952" w14:textId="52457EF4" w:rsidR="00E738E7" w:rsidRPr="00BD7C72" w:rsidRDefault="00E738E7" w:rsidP="0078396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C72">
        <w:rPr>
          <w:rFonts w:ascii="Arial" w:hAnsi="Arial" w:cs="Arial"/>
          <w:color w:val="000000" w:themeColor="text1"/>
          <w:sz w:val="22"/>
          <w:szCs w:val="22"/>
        </w:rPr>
        <w:t>There is a </w:t>
      </w:r>
      <w:hyperlink r:id="rId9" w:tgtFrame="_blank" w:tooltip="opens new tab" w:history="1">
        <w:r w:rsidRPr="00BD7C72">
          <w:rPr>
            <w:rStyle w:val="Hyperlink"/>
            <w:rFonts w:ascii="Arial" w:hAnsi="Arial" w:cs="Arial"/>
            <w:b/>
            <w:bCs/>
            <w:color w:val="000000" w:themeColor="text1"/>
            <w:sz w:val="22"/>
            <w:szCs w:val="22"/>
            <w:u w:val="none"/>
          </w:rPr>
          <w:t>Code of Practice for the Act</w:t>
        </w:r>
      </w:hyperlink>
      <w:r w:rsidRPr="00BD7C72">
        <w:rPr>
          <w:rFonts w:ascii="Arial" w:hAnsi="Arial" w:cs="Arial"/>
          <w:color w:val="000000" w:themeColor="text1"/>
          <w:sz w:val="22"/>
          <w:szCs w:val="22"/>
        </w:rPr>
        <w:t> (updated in 2022) that provides guidance about the performance of functions by councils, their officers, and other professionals under the Act:</w:t>
      </w:r>
    </w:p>
    <w:p w14:paraId="2F10BF16" w14:textId="4234C8D3" w:rsidR="000D461C" w:rsidRPr="00BD7C72" w:rsidRDefault="00910DB9" w:rsidP="0078396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hyperlink r:id="rId10" w:history="1">
        <w:r>
          <w:rPr>
            <w:rStyle w:val="Hyperlink"/>
            <w:rFonts w:ascii="Arial" w:hAnsi="Arial" w:cs="Arial"/>
          </w:rPr>
          <w:t>Adult Support and Protection (Scotland) Act 2007: Code</w:t>
        </w:r>
        <w:r>
          <w:rPr>
            <w:rStyle w:val="Hyperlink"/>
            <w:rFonts w:ascii="Arial" w:hAnsi="Arial" w:cs="Arial"/>
          </w:rPr>
          <w:t xml:space="preserve"> </w:t>
        </w:r>
        <w:r>
          <w:rPr>
            <w:rStyle w:val="Hyperlink"/>
            <w:rFonts w:ascii="Arial" w:hAnsi="Arial" w:cs="Arial"/>
          </w:rPr>
          <w:t xml:space="preserve">of Practice </w:t>
        </w:r>
      </w:hyperlink>
    </w:p>
    <w:p w14:paraId="21F74937" w14:textId="77777777" w:rsidR="00E738E7" w:rsidRPr="00BD7C72" w:rsidRDefault="00E738E7" w:rsidP="00783969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404B28CA" w14:textId="77777777" w:rsidR="00E738E7" w:rsidRPr="00BD7C72" w:rsidRDefault="00E738E7" w:rsidP="00783969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139629A8" w14:textId="77777777" w:rsidR="00BD7C72" w:rsidRPr="00BD7C72" w:rsidRDefault="00BD7C72" w:rsidP="00783969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00529698" w14:textId="158467FE" w:rsidR="00876721" w:rsidRPr="00BD7C72" w:rsidRDefault="00766E25" w:rsidP="00783969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BD7C72">
        <w:rPr>
          <w:rFonts w:ascii="Arial" w:hAnsi="Arial" w:cs="Arial"/>
          <w:b/>
          <w:bCs/>
          <w:color w:val="000000" w:themeColor="text1"/>
          <w:u w:val="single"/>
        </w:rPr>
        <w:lastRenderedPageBreak/>
        <w:t>Adult Protection Plan (AP3)</w:t>
      </w:r>
    </w:p>
    <w:p w14:paraId="359DC052" w14:textId="6AF587CE" w:rsidR="00766E25" w:rsidRPr="00BD7C72" w:rsidRDefault="00331A66" w:rsidP="00783969">
      <w:p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>T</w:t>
      </w:r>
      <w:r w:rsidR="00766E25" w:rsidRPr="00BD7C72">
        <w:rPr>
          <w:rFonts w:ascii="Arial" w:hAnsi="Arial" w:cs="Arial"/>
          <w:color w:val="000000" w:themeColor="text1"/>
        </w:rPr>
        <w:t xml:space="preserve">he </w:t>
      </w:r>
      <w:r w:rsidR="00B12D27" w:rsidRPr="00BD7C72">
        <w:rPr>
          <w:rFonts w:ascii="Arial" w:hAnsi="Arial" w:cs="Arial"/>
          <w:color w:val="000000" w:themeColor="text1"/>
        </w:rPr>
        <w:t xml:space="preserve">Adult </w:t>
      </w:r>
      <w:r w:rsidR="00766E25" w:rsidRPr="00BD7C72">
        <w:rPr>
          <w:rFonts w:ascii="Arial" w:hAnsi="Arial" w:cs="Arial"/>
          <w:color w:val="000000" w:themeColor="text1"/>
        </w:rPr>
        <w:t xml:space="preserve">Protection Plan (AP3) is used when allegations of harm have been made and an Adult Support and Protection Case Conference has agreed that there is a risk of serious harm; or when high levels of risk cannot be managed within a generic support plan. </w:t>
      </w:r>
    </w:p>
    <w:p w14:paraId="5391A46B" w14:textId="29DF2FD2" w:rsidR="00B12D27" w:rsidRPr="00BD7C72" w:rsidRDefault="000C7A44" w:rsidP="0078396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D7C72">
        <w:rPr>
          <w:rFonts w:ascii="Arial" w:eastAsia="Times New Roman" w:hAnsi="Arial" w:cs="Arial"/>
          <w:color w:val="000000" w:themeColor="text1"/>
          <w:lang w:eastAsia="en-GB"/>
        </w:rPr>
        <w:t xml:space="preserve">At the end of the </w:t>
      </w:r>
      <w:r w:rsidR="00E738E7" w:rsidRPr="00BD7C72">
        <w:rPr>
          <w:rFonts w:ascii="Arial" w:eastAsia="Times New Roman" w:hAnsi="Arial" w:cs="Arial"/>
          <w:color w:val="000000" w:themeColor="text1"/>
          <w:lang w:eastAsia="en-GB"/>
        </w:rPr>
        <w:t>case conference</w:t>
      </w:r>
      <w:r w:rsidRPr="00BD7C72">
        <w:rPr>
          <w:rFonts w:ascii="Arial" w:eastAsia="Times New Roman" w:hAnsi="Arial" w:cs="Arial"/>
          <w:color w:val="000000" w:themeColor="text1"/>
          <w:lang w:eastAsia="en-GB"/>
        </w:rPr>
        <w:t xml:space="preserve">, the </w:t>
      </w:r>
      <w:r w:rsidR="00EB5458" w:rsidRPr="00BD7C72">
        <w:rPr>
          <w:rFonts w:ascii="Arial" w:eastAsia="Times New Roman" w:hAnsi="Arial" w:cs="Arial"/>
          <w:color w:val="000000" w:themeColor="text1"/>
          <w:lang w:eastAsia="en-GB"/>
        </w:rPr>
        <w:t>Social Work Fieldwork Manager (</w:t>
      </w:r>
      <w:r w:rsidRPr="00BD7C72">
        <w:rPr>
          <w:rFonts w:ascii="Arial" w:eastAsia="Times New Roman" w:hAnsi="Arial" w:cs="Arial"/>
          <w:color w:val="000000" w:themeColor="text1"/>
          <w:lang w:eastAsia="en-GB"/>
        </w:rPr>
        <w:t>Chair</w:t>
      </w:r>
      <w:r w:rsidR="00E738E7" w:rsidRPr="00BD7C72">
        <w:rPr>
          <w:rFonts w:ascii="Arial" w:eastAsia="Times New Roman" w:hAnsi="Arial" w:cs="Arial"/>
          <w:color w:val="000000" w:themeColor="text1"/>
          <w:lang w:eastAsia="en-GB"/>
        </w:rPr>
        <w:t>person</w:t>
      </w:r>
      <w:r w:rsidR="00EB5458" w:rsidRPr="00BD7C72">
        <w:rPr>
          <w:rFonts w:ascii="Arial" w:eastAsia="Times New Roman" w:hAnsi="Arial" w:cs="Arial"/>
          <w:color w:val="000000" w:themeColor="text1"/>
          <w:lang w:eastAsia="en-GB"/>
        </w:rPr>
        <w:t>)</w:t>
      </w:r>
      <w:r w:rsidR="00B12D27" w:rsidRPr="00BD7C72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Pr="00BD7C72">
        <w:rPr>
          <w:rFonts w:ascii="Arial" w:eastAsia="Times New Roman" w:hAnsi="Arial" w:cs="Arial"/>
          <w:color w:val="000000" w:themeColor="text1"/>
          <w:lang w:eastAsia="en-GB"/>
        </w:rPr>
        <w:t>summarise</w:t>
      </w:r>
      <w:r w:rsidR="00B12D27" w:rsidRPr="00BD7C72">
        <w:rPr>
          <w:rFonts w:ascii="Arial" w:eastAsia="Times New Roman" w:hAnsi="Arial" w:cs="Arial"/>
          <w:color w:val="000000" w:themeColor="text1"/>
          <w:lang w:eastAsia="en-GB"/>
        </w:rPr>
        <w:t>s</w:t>
      </w:r>
      <w:r w:rsidRPr="00BD7C72">
        <w:rPr>
          <w:rFonts w:ascii="Arial" w:eastAsia="Times New Roman" w:hAnsi="Arial" w:cs="Arial"/>
          <w:color w:val="000000" w:themeColor="text1"/>
          <w:lang w:eastAsia="en-GB"/>
        </w:rPr>
        <w:t xml:space="preserve"> the discussions and information – bringing together the </w:t>
      </w:r>
      <w:r w:rsidR="00D546FF" w:rsidRPr="00BD7C72">
        <w:rPr>
          <w:rFonts w:ascii="Arial" w:eastAsia="Times New Roman" w:hAnsi="Arial" w:cs="Arial"/>
          <w:color w:val="000000" w:themeColor="text1"/>
          <w:lang w:eastAsia="en-GB"/>
        </w:rPr>
        <w:t xml:space="preserve">identified </w:t>
      </w:r>
      <w:r w:rsidRPr="00BD7C72">
        <w:rPr>
          <w:rFonts w:ascii="Arial" w:eastAsia="Times New Roman" w:hAnsi="Arial" w:cs="Arial"/>
          <w:color w:val="000000" w:themeColor="text1"/>
          <w:lang w:eastAsia="en-GB"/>
        </w:rPr>
        <w:t>risks</w:t>
      </w:r>
      <w:r w:rsidR="00B12D27" w:rsidRPr="00BD7C72">
        <w:rPr>
          <w:rFonts w:ascii="Arial" w:eastAsia="Times New Roman" w:hAnsi="Arial" w:cs="Arial"/>
          <w:color w:val="000000" w:themeColor="text1"/>
          <w:lang w:eastAsia="en-GB"/>
        </w:rPr>
        <w:t>,</w:t>
      </w:r>
      <w:r w:rsidR="00D546FF" w:rsidRPr="00BD7C72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Pr="00BD7C72">
        <w:rPr>
          <w:rFonts w:ascii="Arial" w:eastAsia="Times New Roman" w:hAnsi="Arial" w:cs="Arial"/>
          <w:color w:val="000000" w:themeColor="text1"/>
          <w:lang w:eastAsia="en-GB"/>
        </w:rPr>
        <w:t>protective factors, strengths, and preferences of the adult at risk</w:t>
      </w:r>
      <w:r w:rsidR="00B12D27" w:rsidRPr="00BD7C72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723A5FE1" w14:textId="6C1E2277" w:rsidR="00D546FF" w:rsidRPr="00BD7C72" w:rsidRDefault="00D546FF" w:rsidP="0078396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D7C72">
        <w:rPr>
          <w:rFonts w:ascii="Arial" w:eastAsia="Times New Roman" w:hAnsi="Arial" w:cs="Arial"/>
          <w:color w:val="000000" w:themeColor="text1"/>
          <w:lang w:eastAsia="en-GB"/>
        </w:rPr>
        <w:t>The aim is to establish if:</w:t>
      </w:r>
    </w:p>
    <w:p w14:paraId="6C261BF0" w14:textId="727E62F1" w:rsidR="000C7A44" w:rsidRPr="00BD7C72" w:rsidRDefault="000C7A44" w:rsidP="007839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D7C72">
        <w:rPr>
          <w:rFonts w:ascii="Arial" w:eastAsia="Times New Roman" w:hAnsi="Arial" w:cs="Arial"/>
          <w:color w:val="000000" w:themeColor="text1"/>
          <w:lang w:eastAsia="en-GB"/>
        </w:rPr>
        <w:t>the adult is at risk of harm and agree a plan about what type of support and protection is</w:t>
      </w:r>
      <w:r w:rsidR="00D546FF" w:rsidRPr="00BD7C72">
        <w:rPr>
          <w:rFonts w:ascii="Arial" w:eastAsia="Times New Roman" w:hAnsi="Arial" w:cs="Arial"/>
          <w:color w:val="000000" w:themeColor="text1"/>
          <w:lang w:eastAsia="en-GB"/>
        </w:rPr>
        <w:t xml:space="preserve"> required to safeguard the adult</w:t>
      </w:r>
      <w:r w:rsidRPr="00BD7C72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0D0AC319" w14:textId="67198EB6" w:rsidR="000C7A44" w:rsidRPr="00BD7C72" w:rsidRDefault="000C7A44" w:rsidP="007839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D7C72">
        <w:rPr>
          <w:rFonts w:ascii="Arial" w:eastAsia="Times New Roman" w:hAnsi="Arial" w:cs="Arial"/>
          <w:color w:val="000000" w:themeColor="text1"/>
          <w:lang w:eastAsia="en-GB"/>
        </w:rPr>
        <w:t>Whether the adult requires</w:t>
      </w:r>
      <w:r w:rsidR="00D546FF" w:rsidRPr="00BD7C72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Pr="00BD7C72">
        <w:rPr>
          <w:rFonts w:ascii="Arial" w:eastAsia="Times New Roman" w:hAnsi="Arial" w:cs="Arial"/>
          <w:color w:val="000000" w:themeColor="text1"/>
          <w:lang w:eastAsia="en-GB"/>
        </w:rPr>
        <w:t>emergency protection.</w:t>
      </w:r>
    </w:p>
    <w:p w14:paraId="132A5E62" w14:textId="7B225EBF" w:rsidR="000C7A44" w:rsidRPr="00BD7C72" w:rsidRDefault="000C7A44" w:rsidP="0078396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C72">
        <w:rPr>
          <w:rFonts w:ascii="Arial" w:hAnsi="Arial" w:cs="Arial"/>
          <w:color w:val="000000" w:themeColor="text1"/>
          <w:sz w:val="22"/>
          <w:szCs w:val="22"/>
        </w:rPr>
        <w:t xml:space="preserve">A decision may be made to </w:t>
      </w:r>
      <w:r w:rsidR="00D546FF" w:rsidRPr="00BD7C72">
        <w:rPr>
          <w:rFonts w:ascii="Arial" w:hAnsi="Arial" w:cs="Arial"/>
          <w:color w:val="000000" w:themeColor="text1"/>
          <w:sz w:val="22"/>
          <w:szCs w:val="22"/>
        </w:rPr>
        <w:t xml:space="preserve">implement </w:t>
      </w:r>
      <w:r w:rsidRPr="00BD7C72">
        <w:rPr>
          <w:rFonts w:ascii="Arial" w:hAnsi="Arial" w:cs="Arial"/>
          <w:color w:val="000000" w:themeColor="text1"/>
          <w:sz w:val="22"/>
          <w:szCs w:val="22"/>
        </w:rPr>
        <w:t>an Adult Protection Plan. The plan sets out what needs to be done to support the adult to</w:t>
      </w:r>
      <w:r w:rsidR="0010705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10DB9">
        <w:rPr>
          <w:rFonts w:ascii="Arial" w:hAnsi="Arial" w:cs="Arial"/>
          <w:color w:val="000000" w:themeColor="text1"/>
          <w:sz w:val="22"/>
          <w:szCs w:val="22"/>
        </w:rPr>
        <w:t xml:space="preserve">minimise </w:t>
      </w:r>
      <w:r w:rsidRPr="00BD7C72">
        <w:rPr>
          <w:rFonts w:ascii="Arial" w:hAnsi="Arial" w:cs="Arial"/>
          <w:color w:val="000000" w:themeColor="text1"/>
          <w:sz w:val="22"/>
          <w:szCs w:val="22"/>
        </w:rPr>
        <w:t xml:space="preserve">the risk of further harm. </w:t>
      </w:r>
      <w:r w:rsidR="00D546FF" w:rsidRPr="00BD7C72">
        <w:rPr>
          <w:rFonts w:ascii="Arial" w:hAnsi="Arial" w:cs="Arial"/>
          <w:color w:val="000000" w:themeColor="text1"/>
          <w:sz w:val="22"/>
          <w:szCs w:val="22"/>
        </w:rPr>
        <w:t xml:space="preserve">Professionals will develop the plan in partnership with the adult / carer (where appropriate) and will remain in place until the risk is reduced.   </w:t>
      </w:r>
    </w:p>
    <w:p w14:paraId="5A44ED25" w14:textId="03CF0C42" w:rsidR="00E738E7" w:rsidRPr="00BD7C72" w:rsidRDefault="00E738E7" w:rsidP="0078396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D7C72">
        <w:rPr>
          <w:rFonts w:ascii="Arial" w:eastAsia="Times New Roman" w:hAnsi="Arial" w:cs="Arial"/>
          <w:color w:val="000000" w:themeColor="text1"/>
          <w:lang w:eastAsia="en-GB"/>
        </w:rPr>
        <w:t xml:space="preserve">An Adult Protection Plan </w:t>
      </w:r>
      <w:r w:rsidR="00D546FF" w:rsidRPr="00BD7C72">
        <w:rPr>
          <w:rFonts w:ascii="Arial" w:eastAsia="Times New Roman" w:hAnsi="Arial" w:cs="Arial"/>
          <w:color w:val="000000" w:themeColor="text1"/>
          <w:lang w:eastAsia="en-GB"/>
        </w:rPr>
        <w:t xml:space="preserve">is </w:t>
      </w:r>
      <w:r w:rsidRPr="00BD7C72">
        <w:rPr>
          <w:rFonts w:ascii="Arial" w:eastAsia="Times New Roman" w:hAnsi="Arial" w:cs="Arial"/>
          <w:color w:val="000000" w:themeColor="text1"/>
          <w:lang w:eastAsia="en-GB"/>
        </w:rPr>
        <w:t>based on the discussion and decisions made at the case conference and should cover:</w:t>
      </w:r>
    </w:p>
    <w:p w14:paraId="214A7B10" w14:textId="77777777" w:rsidR="00E738E7" w:rsidRDefault="00E738E7" w:rsidP="0078396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D7C72">
        <w:rPr>
          <w:rFonts w:ascii="Arial" w:eastAsia="Times New Roman" w:hAnsi="Arial" w:cs="Arial"/>
          <w:color w:val="000000" w:themeColor="text1"/>
          <w:lang w:eastAsia="en-GB"/>
        </w:rPr>
        <w:t>Arrangements and supports already in place</w:t>
      </w:r>
    </w:p>
    <w:p w14:paraId="70B0C5BB" w14:textId="2D178D04" w:rsidR="0010705C" w:rsidRPr="00BD7C72" w:rsidRDefault="00910DB9" w:rsidP="0078396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 xml:space="preserve">Risk assessment </w:t>
      </w:r>
    </w:p>
    <w:p w14:paraId="415FC764" w14:textId="02B16425" w:rsidR="00E738E7" w:rsidRPr="00BD7C72" w:rsidRDefault="00910DB9" w:rsidP="0078396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 xml:space="preserve">Adults, carers and agencies roles and responsibilities </w:t>
      </w:r>
    </w:p>
    <w:p w14:paraId="1271121C" w14:textId="55BC2264" w:rsidR="00E738E7" w:rsidRPr="00BD7C72" w:rsidRDefault="00910DB9" w:rsidP="0078396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 xml:space="preserve">SMART actions to mitigate the identified risk </w:t>
      </w:r>
    </w:p>
    <w:p w14:paraId="1BE14707" w14:textId="2BD33849" w:rsidR="00D546FF" w:rsidRPr="00BD7C72" w:rsidRDefault="00910DB9" w:rsidP="0078396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SMART t</w:t>
      </w:r>
      <w:r w:rsidR="00D546FF" w:rsidRPr="00BD7C72">
        <w:rPr>
          <w:rFonts w:ascii="Arial" w:eastAsia="Times New Roman" w:hAnsi="Arial" w:cs="Arial"/>
          <w:color w:val="000000" w:themeColor="text1"/>
          <w:lang w:eastAsia="en-GB"/>
        </w:rPr>
        <w:t>imescales</w:t>
      </w:r>
    </w:p>
    <w:p w14:paraId="76FE06CA" w14:textId="4154164E" w:rsidR="00E738E7" w:rsidRDefault="00E738E7" w:rsidP="0078396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D7C72">
        <w:rPr>
          <w:rFonts w:ascii="Arial" w:eastAsia="Times New Roman" w:hAnsi="Arial" w:cs="Arial"/>
          <w:color w:val="000000" w:themeColor="text1"/>
          <w:lang w:eastAsia="en-GB"/>
        </w:rPr>
        <w:t>Legal steps to be taken to protect the adult. This is called a protection order and there are different types – an assessment order, removal order or banning order</w:t>
      </w:r>
    </w:p>
    <w:p w14:paraId="31FF6339" w14:textId="10F79BAA" w:rsidR="00910DB9" w:rsidRPr="001E1E17" w:rsidRDefault="00910DB9" w:rsidP="001E1E1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Contingency Plan</w:t>
      </w:r>
    </w:p>
    <w:p w14:paraId="552C1A9D" w14:textId="2100AD27" w:rsidR="00C847BA" w:rsidRPr="00910DB9" w:rsidRDefault="00766E25" w:rsidP="001E1E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910DB9">
        <w:rPr>
          <w:rFonts w:ascii="Arial" w:hAnsi="Arial" w:cs="Arial"/>
          <w:color w:val="000000" w:themeColor="text1"/>
        </w:rPr>
        <w:t>A</w:t>
      </w:r>
      <w:r w:rsidR="00E738E7" w:rsidRPr="00910DB9">
        <w:rPr>
          <w:rFonts w:ascii="Arial" w:hAnsi="Arial" w:cs="Arial"/>
          <w:color w:val="000000" w:themeColor="text1"/>
        </w:rPr>
        <w:t>n Adult</w:t>
      </w:r>
      <w:r w:rsidRPr="00910DB9">
        <w:rPr>
          <w:rFonts w:ascii="Arial" w:hAnsi="Arial" w:cs="Arial"/>
          <w:color w:val="000000" w:themeColor="text1"/>
        </w:rPr>
        <w:t xml:space="preserve"> </w:t>
      </w:r>
      <w:r w:rsidR="00E738E7" w:rsidRPr="00910DB9">
        <w:rPr>
          <w:rFonts w:ascii="Arial" w:hAnsi="Arial" w:cs="Arial"/>
          <w:color w:val="000000" w:themeColor="text1"/>
        </w:rPr>
        <w:t>P</w:t>
      </w:r>
      <w:r w:rsidRPr="00910DB9">
        <w:rPr>
          <w:rFonts w:ascii="Arial" w:hAnsi="Arial" w:cs="Arial"/>
          <w:color w:val="000000" w:themeColor="text1"/>
        </w:rPr>
        <w:t xml:space="preserve">rotection </w:t>
      </w:r>
      <w:r w:rsidR="00E738E7" w:rsidRPr="00910DB9">
        <w:rPr>
          <w:rFonts w:ascii="Arial" w:hAnsi="Arial" w:cs="Arial"/>
          <w:color w:val="000000" w:themeColor="text1"/>
        </w:rPr>
        <w:t>P</w:t>
      </w:r>
      <w:r w:rsidRPr="00910DB9">
        <w:rPr>
          <w:rFonts w:ascii="Arial" w:hAnsi="Arial" w:cs="Arial"/>
          <w:color w:val="000000" w:themeColor="text1"/>
        </w:rPr>
        <w:t>lan would normally be put in place with the adult’s consent and cooperation. However, it is possible to consider proactive actions without the express consent of the adult</w:t>
      </w:r>
      <w:r w:rsidR="00553A33" w:rsidRPr="00910DB9">
        <w:rPr>
          <w:rFonts w:ascii="Arial" w:hAnsi="Arial" w:cs="Arial"/>
          <w:color w:val="000000" w:themeColor="text1"/>
        </w:rPr>
        <w:t xml:space="preserve">. It is recognised </w:t>
      </w:r>
      <w:r w:rsidR="00A40590" w:rsidRPr="00910DB9">
        <w:rPr>
          <w:rFonts w:ascii="Arial" w:hAnsi="Arial" w:cs="Arial"/>
          <w:color w:val="000000" w:themeColor="text1"/>
        </w:rPr>
        <w:t xml:space="preserve">however </w:t>
      </w:r>
      <w:r w:rsidR="00553A33" w:rsidRPr="00910DB9">
        <w:rPr>
          <w:rFonts w:ascii="Arial" w:hAnsi="Arial" w:cs="Arial"/>
          <w:color w:val="000000" w:themeColor="text1"/>
        </w:rPr>
        <w:t>that this may have</w:t>
      </w:r>
      <w:r w:rsidRPr="00910DB9">
        <w:rPr>
          <w:rFonts w:ascii="Arial" w:hAnsi="Arial" w:cs="Arial"/>
          <w:color w:val="000000" w:themeColor="text1"/>
        </w:rPr>
        <w:t xml:space="preserve"> </w:t>
      </w:r>
      <w:r w:rsidR="00C847BA" w:rsidRPr="00910DB9">
        <w:rPr>
          <w:rFonts w:ascii="Arial" w:hAnsi="Arial" w:cs="Arial"/>
          <w:color w:val="000000" w:themeColor="text1"/>
        </w:rPr>
        <w:t>limited success</w:t>
      </w:r>
      <w:r w:rsidR="00A40590" w:rsidRPr="00910DB9">
        <w:rPr>
          <w:rFonts w:ascii="Arial" w:hAnsi="Arial" w:cs="Arial"/>
          <w:color w:val="000000" w:themeColor="text1"/>
        </w:rPr>
        <w:t>, as person centred planning and engagement leads to better outcomes.</w:t>
      </w:r>
      <w:r w:rsidR="00553A33" w:rsidRPr="00910DB9">
        <w:rPr>
          <w:rFonts w:ascii="Arial" w:hAnsi="Arial" w:cs="Arial"/>
          <w:color w:val="000000" w:themeColor="text1"/>
        </w:rPr>
        <w:t xml:space="preserve"> </w:t>
      </w:r>
      <w:r w:rsidR="00A40590" w:rsidRPr="00910DB9">
        <w:rPr>
          <w:rFonts w:ascii="Arial" w:hAnsi="Arial" w:cs="Arial"/>
          <w:color w:val="000000" w:themeColor="text1"/>
        </w:rPr>
        <w:t>A</w:t>
      </w:r>
      <w:r w:rsidR="00553A33" w:rsidRPr="00910DB9">
        <w:rPr>
          <w:rFonts w:ascii="Arial" w:hAnsi="Arial" w:cs="Arial"/>
          <w:color w:val="000000" w:themeColor="text1"/>
        </w:rPr>
        <w:t>ttempts to engage the adult in</w:t>
      </w:r>
      <w:r w:rsidR="00A40590" w:rsidRPr="00910DB9">
        <w:rPr>
          <w:rFonts w:ascii="Arial" w:hAnsi="Arial" w:cs="Arial"/>
          <w:color w:val="000000" w:themeColor="text1"/>
        </w:rPr>
        <w:t xml:space="preserve"> the</w:t>
      </w:r>
      <w:r w:rsidR="00553A33" w:rsidRPr="00910DB9">
        <w:rPr>
          <w:rFonts w:ascii="Arial" w:hAnsi="Arial" w:cs="Arial"/>
          <w:color w:val="000000" w:themeColor="text1"/>
        </w:rPr>
        <w:t xml:space="preserve"> protection planning </w:t>
      </w:r>
      <w:r w:rsidR="00A40590" w:rsidRPr="00910DB9">
        <w:rPr>
          <w:rFonts w:ascii="Arial" w:hAnsi="Arial" w:cs="Arial"/>
          <w:color w:val="000000" w:themeColor="text1"/>
        </w:rPr>
        <w:t xml:space="preserve">process </w:t>
      </w:r>
      <w:r w:rsidR="00553A33" w:rsidRPr="00910DB9">
        <w:rPr>
          <w:rFonts w:ascii="Arial" w:hAnsi="Arial" w:cs="Arial"/>
          <w:color w:val="000000" w:themeColor="text1"/>
        </w:rPr>
        <w:t>should</w:t>
      </w:r>
      <w:r w:rsidR="00A40590" w:rsidRPr="00910DB9">
        <w:rPr>
          <w:rFonts w:ascii="Arial" w:hAnsi="Arial" w:cs="Arial"/>
          <w:color w:val="000000" w:themeColor="text1"/>
        </w:rPr>
        <w:t xml:space="preserve"> be </w:t>
      </w:r>
      <w:r w:rsidR="00EB5458" w:rsidRPr="00910DB9">
        <w:rPr>
          <w:rFonts w:ascii="Arial" w:hAnsi="Arial" w:cs="Arial"/>
          <w:color w:val="000000" w:themeColor="text1"/>
        </w:rPr>
        <w:t>prioriti</w:t>
      </w:r>
      <w:r w:rsidR="00D546FF" w:rsidRPr="00910DB9">
        <w:rPr>
          <w:rFonts w:ascii="Arial" w:hAnsi="Arial" w:cs="Arial"/>
          <w:color w:val="000000" w:themeColor="text1"/>
        </w:rPr>
        <w:t>s</w:t>
      </w:r>
      <w:r w:rsidR="00EB5458" w:rsidRPr="00910DB9">
        <w:rPr>
          <w:rFonts w:ascii="Arial" w:hAnsi="Arial" w:cs="Arial"/>
          <w:color w:val="000000" w:themeColor="text1"/>
        </w:rPr>
        <w:t>ed</w:t>
      </w:r>
      <w:r w:rsidR="00E738E7" w:rsidRPr="00910DB9">
        <w:rPr>
          <w:rFonts w:ascii="Arial" w:hAnsi="Arial" w:cs="Arial"/>
          <w:color w:val="000000" w:themeColor="text1"/>
        </w:rPr>
        <w:t xml:space="preserve">, with consideration given to </w:t>
      </w:r>
      <w:r w:rsidR="00EB5458" w:rsidRPr="00910DB9">
        <w:rPr>
          <w:rFonts w:ascii="Arial" w:hAnsi="Arial" w:cs="Arial"/>
          <w:color w:val="000000" w:themeColor="text1"/>
        </w:rPr>
        <w:t xml:space="preserve">the </w:t>
      </w:r>
      <w:r w:rsidR="00E738E7" w:rsidRPr="00910DB9">
        <w:rPr>
          <w:rFonts w:ascii="Arial" w:hAnsi="Arial" w:cs="Arial"/>
          <w:color w:val="000000" w:themeColor="text1"/>
        </w:rPr>
        <w:t>communication needs</w:t>
      </w:r>
      <w:r w:rsidR="00EB5458" w:rsidRPr="00910DB9">
        <w:rPr>
          <w:rFonts w:ascii="Arial" w:hAnsi="Arial" w:cs="Arial"/>
          <w:color w:val="000000" w:themeColor="text1"/>
        </w:rPr>
        <w:t xml:space="preserve"> of the adult</w:t>
      </w:r>
      <w:r w:rsidR="00E738E7" w:rsidRPr="00910DB9">
        <w:rPr>
          <w:rFonts w:ascii="Arial" w:hAnsi="Arial" w:cs="Arial"/>
          <w:color w:val="000000" w:themeColor="text1"/>
        </w:rPr>
        <w:t>,</w:t>
      </w:r>
      <w:r w:rsidR="00EB5458" w:rsidRPr="00910DB9">
        <w:rPr>
          <w:rFonts w:ascii="Arial" w:hAnsi="Arial" w:cs="Arial"/>
          <w:color w:val="000000" w:themeColor="text1"/>
        </w:rPr>
        <w:t xml:space="preserve"> possible barriers to engagement and</w:t>
      </w:r>
      <w:r w:rsidR="00E738E7" w:rsidRPr="00910DB9">
        <w:rPr>
          <w:rFonts w:ascii="Arial" w:hAnsi="Arial" w:cs="Arial"/>
          <w:color w:val="000000" w:themeColor="text1"/>
        </w:rPr>
        <w:t xml:space="preserve"> </w:t>
      </w:r>
      <w:r w:rsidR="00EB5458" w:rsidRPr="00910DB9">
        <w:rPr>
          <w:rFonts w:ascii="Arial" w:hAnsi="Arial" w:cs="Arial"/>
          <w:color w:val="000000" w:themeColor="text1"/>
        </w:rPr>
        <w:t xml:space="preserve">the potential impact of </w:t>
      </w:r>
      <w:r w:rsidR="00E738E7" w:rsidRPr="00910DB9">
        <w:rPr>
          <w:rFonts w:ascii="Arial" w:hAnsi="Arial" w:cs="Arial"/>
          <w:color w:val="000000" w:themeColor="text1"/>
        </w:rPr>
        <w:t>trauma</w:t>
      </w:r>
      <w:r w:rsidR="00EB5458" w:rsidRPr="00910DB9">
        <w:rPr>
          <w:rFonts w:ascii="Arial" w:hAnsi="Arial" w:cs="Arial"/>
          <w:color w:val="000000" w:themeColor="text1"/>
        </w:rPr>
        <w:t>.</w:t>
      </w:r>
      <w:r w:rsidR="00E738E7" w:rsidRPr="00910DB9">
        <w:rPr>
          <w:rFonts w:ascii="Arial" w:hAnsi="Arial" w:cs="Arial"/>
          <w:color w:val="000000" w:themeColor="text1"/>
        </w:rPr>
        <w:t xml:space="preserve"> </w:t>
      </w:r>
    </w:p>
    <w:p w14:paraId="0BD0BC00" w14:textId="30ADDE97" w:rsidR="008A1D94" w:rsidRPr="00BD7C72" w:rsidRDefault="00D512E1" w:rsidP="00783969">
      <w:p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 xml:space="preserve">It is important that agencies understand their statutory duties and responsibilities under the Act and communicate, co-operate and share relevant and proportionate information to help inform risk assessment and risk management. </w:t>
      </w:r>
      <w:r w:rsidR="00C847BA" w:rsidRPr="00BD7C72">
        <w:rPr>
          <w:rFonts w:ascii="Arial" w:hAnsi="Arial" w:cs="Arial"/>
          <w:color w:val="000000" w:themeColor="text1"/>
        </w:rPr>
        <w:t>Protection planning is a shared responsibility, with agencies involved in the planning, implementation, monitoring and review of</w:t>
      </w:r>
      <w:r w:rsidRPr="00BD7C72">
        <w:rPr>
          <w:rFonts w:ascii="Arial" w:hAnsi="Arial" w:cs="Arial"/>
          <w:color w:val="000000" w:themeColor="text1"/>
        </w:rPr>
        <w:t xml:space="preserve"> all plans. </w:t>
      </w:r>
    </w:p>
    <w:p w14:paraId="49BFFB1A" w14:textId="6E2B8F86" w:rsidR="00083EC9" w:rsidRPr="00BD7C72" w:rsidRDefault="00766E25" w:rsidP="00783969">
      <w:p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 xml:space="preserve">For adults already in receipt of a support plan, amendments may be made to the plan aimed at reducing risks identified in </w:t>
      </w:r>
      <w:r w:rsidR="001C0AD6" w:rsidRPr="00BD7C72">
        <w:rPr>
          <w:rFonts w:ascii="Arial" w:hAnsi="Arial" w:cs="Arial"/>
          <w:color w:val="000000" w:themeColor="text1"/>
        </w:rPr>
        <w:t>a</w:t>
      </w:r>
      <w:r w:rsidRPr="00BD7C72">
        <w:rPr>
          <w:rFonts w:ascii="Arial" w:hAnsi="Arial" w:cs="Arial"/>
          <w:color w:val="000000" w:themeColor="text1"/>
        </w:rPr>
        <w:t xml:space="preserve"> risk assessment</w:t>
      </w:r>
      <w:r w:rsidR="001C0AD6" w:rsidRPr="00BD7C72">
        <w:rPr>
          <w:rFonts w:ascii="Arial" w:hAnsi="Arial" w:cs="Arial"/>
          <w:color w:val="000000" w:themeColor="text1"/>
        </w:rPr>
        <w:t xml:space="preserve"> (AP2)</w:t>
      </w:r>
      <w:r w:rsidRPr="00BD7C72">
        <w:rPr>
          <w:rFonts w:ascii="Arial" w:hAnsi="Arial" w:cs="Arial"/>
          <w:color w:val="000000" w:themeColor="text1"/>
        </w:rPr>
        <w:t>. In this case the support plan should be referred to as the protection plan</w:t>
      </w:r>
      <w:r w:rsidR="00D546FF" w:rsidRPr="00BD7C72">
        <w:rPr>
          <w:rFonts w:ascii="Arial" w:hAnsi="Arial" w:cs="Arial"/>
          <w:color w:val="000000" w:themeColor="text1"/>
        </w:rPr>
        <w:t xml:space="preserve"> and the appropriate paperwork completed (AP3).</w:t>
      </w:r>
    </w:p>
    <w:p w14:paraId="2D1E0753" w14:textId="77777777" w:rsidR="00E738E7" w:rsidRPr="00BD7C72" w:rsidRDefault="00E738E7" w:rsidP="00783969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6D4700BB" w14:textId="77777777" w:rsidR="00EB5458" w:rsidRPr="00BD7C72" w:rsidRDefault="00EB5458" w:rsidP="00783969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6DCEE10E" w14:textId="77777777" w:rsidR="00BD7C72" w:rsidRPr="00BD7C72" w:rsidRDefault="00BD7C72" w:rsidP="00783969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457300EC" w14:textId="02C8D638" w:rsidR="00A826F9" w:rsidRPr="00BD7C72" w:rsidRDefault="00A826F9" w:rsidP="00783969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BD7C72">
        <w:rPr>
          <w:rFonts w:ascii="Arial" w:hAnsi="Arial" w:cs="Arial"/>
          <w:b/>
          <w:bCs/>
          <w:color w:val="000000" w:themeColor="text1"/>
          <w:u w:val="single"/>
        </w:rPr>
        <w:lastRenderedPageBreak/>
        <w:t>Outcomes in Adult Protection Planning</w:t>
      </w:r>
    </w:p>
    <w:p w14:paraId="055B216B" w14:textId="00DACC9F" w:rsidR="00764CD0" w:rsidRPr="00BD7C72" w:rsidRDefault="00764CD0" w:rsidP="00783969">
      <w:p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 xml:space="preserve">The protection plan should reflect the risks identified in the formal risk assessment (AP2) and should include: </w:t>
      </w:r>
    </w:p>
    <w:p w14:paraId="141DA891" w14:textId="77777777" w:rsidR="00764CD0" w:rsidRPr="00BD7C72" w:rsidRDefault="00764CD0" w:rsidP="00783969">
      <w:p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>• decisions</w:t>
      </w:r>
    </w:p>
    <w:p w14:paraId="50D879F9" w14:textId="77777777" w:rsidR="00764CD0" w:rsidRPr="00BD7C72" w:rsidRDefault="00764CD0" w:rsidP="00783969">
      <w:p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>• timescales for actions</w:t>
      </w:r>
    </w:p>
    <w:p w14:paraId="1BCC213F" w14:textId="6CB06BB8" w:rsidR="00764CD0" w:rsidRPr="00BD7C72" w:rsidRDefault="00764CD0" w:rsidP="00783969">
      <w:p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 xml:space="preserve"> •</w:t>
      </w:r>
      <w:r w:rsidR="00D546FF" w:rsidRPr="00BD7C72">
        <w:rPr>
          <w:rFonts w:ascii="Arial" w:hAnsi="Arial" w:cs="Arial"/>
          <w:color w:val="000000" w:themeColor="text1"/>
        </w:rPr>
        <w:t xml:space="preserve"> </w:t>
      </w:r>
      <w:r w:rsidRPr="00BD7C72">
        <w:rPr>
          <w:rFonts w:ascii="Arial" w:hAnsi="Arial" w:cs="Arial"/>
          <w:color w:val="000000" w:themeColor="text1"/>
        </w:rPr>
        <w:t xml:space="preserve">roles and responsibilities of each agency/staff member involved </w:t>
      </w:r>
    </w:p>
    <w:p w14:paraId="012434EC" w14:textId="77777777" w:rsidR="00764CD0" w:rsidRPr="00BD7C72" w:rsidRDefault="00764CD0" w:rsidP="00783969">
      <w:p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 xml:space="preserve">• what supports may be required to protect the adult </w:t>
      </w:r>
    </w:p>
    <w:p w14:paraId="650EFCB3" w14:textId="77777777" w:rsidR="00764CD0" w:rsidRPr="00BD7C72" w:rsidRDefault="00764CD0" w:rsidP="00783969">
      <w:p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 xml:space="preserve">• whether a protection order is required </w:t>
      </w:r>
    </w:p>
    <w:p w14:paraId="0B015D5C" w14:textId="77777777" w:rsidR="00764CD0" w:rsidRPr="00BD7C72" w:rsidRDefault="00764CD0" w:rsidP="00783969">
      <w:p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 xml:space="preserve">• a contingency plan should the protection arrangements break down </w:t>
      </w:r>
    </w:p>
    <w:p w14:paraId="4E675ACD" w14:textId="77777777" w:rsidR="00764CD0" w:rsidRPr="00BD7C72" w:rsidRDefault="00764CD0" w:rsidP="00783969">
      <w:p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>• the contribution of the adult (and/or their family) to protecting themselves</w:t>
      </w:r>
    </w:p>
    <w:p w14:paraId="49AEC525" w14:textId="77777777" w:rsidR="00EB5458" w:rsidRPr="00BD7C72" w:rsidRDefault="00764CD0" w:rsidP="00783969">
      <w:p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>Crucially, the protection plan should always consider the desired outcome</w:t>
      </w:r>
      <w:r w:rsidR="001C0AD6" w:rsidRPr="00BD7C72">
        <w:rPr>
          <w:rFonts w:ascii="Arial" w:hAnsi="Arial" w:cs="Arial"/>
          <w:color w:val="000000" w:themeColor="text1"/>
        </w:rPr>
        <w:t>s</w:t>
      </w:r>
      <w:r w:rsidRPr="00BD7C72">
        <w:rPr>
          <w:rFonts w:ascii="Arial" w:hAnsi="Arial" w:cs="Arial"/>
          <w:color w:val="000000" w:themeColor="text1"/>
        </w:rPr>
        <w:t xml:space="preserve"> for the adult. </w:t>
      </w:r>
    </w:p>
    <w:p w14:paraId="2AE89065" w14:textId="77777777" w:rsidR="0010705C" w:rsidRDefault="0010705C" w:rsidP="00783969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6658282D" w14:textId="2C5DF0B8" w:rsidR="00D546FF" w:rsidRPr="00BD7C72" w:rsidRDefault="00D546FF" w:rsidP="00783969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BD7C72">
        <w:rPr>
          <w:rFonts w:ascii="Arial" w:hAnsi="Arial" w:cs="Arial"/>
          <w:b/>
          <w:bCs/>
          <w:color w:val="000000" w:themeColor="text1"/>
          <w:u w:val="single"/>
        </w:rPr>
        <w:t xml:space="preserve">Outcomes </w:t>
      </w:r>
    </w:p>
    <w:p w14:paraId="11BF1498" w14:textId="36BBF9AA" w:rsidR="00764CD0" w:rsidRPr="00BD7C72" w:rsidRDefault="00A826F9" w:rsidP="00783969">
      <w:p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 xml:space="preserve">Outcomes refer to the </w:t>
      </w:r>
      <w:r w:rsidRPr="00BD7C72">
        <w:rPr>
          <w:rFonts w:ascii="Arial" w:hAnsi="Arial" w:cs="Arial"/>
          <w:b/>
          <w:bCs/>
          <w:color w:val="000000" w:themeColor="text1"/>
        </w:rPr>
        <w:t>impact</w:t>
      </w:r>
      <w:r w:rsidRPr="00BD7C72">
        <w:rPr>
          <w:rFonts w:ascii="Arial" w:hAnsi="Arial" w:cs="Arial"/>
          <w:color w:val="000000" w:themeColor="text1"/>
        </w:rPr>
        <w:t xml:space="preserve"> support has on a person’s life and not the </w:t>
      </w:r>
      <w:r w:rsidRPr="00BD7C72">
        <w:rPr>
          <w:rFonts w:ascii="Arial" w:hAnsi="Arial" w:cs="Arial"/>
          <w:b/>
          <w:bCs/>
          <w:color w:val="000000" w:themeColor="text1"/>
        </w:rPr>
        <w:t>outputs</w:t>
      </w:r>
      <w:r w:rsidRPr="00BD7C72">
        <w:rPr>
          <w:rFonts w:ascii="Arial" w:hAnsi="Arial" w:cs="Arial"/>
          <w:color w:val="000000" w:themeColor="text1"/>
        </w:rPr>
        <w:t xml:space="preserve"> of services</w:t>
      </w:r>
      <w:r w:rsidR="001C0AD6" w:rsidRPr="00BD7C72">
        <w:rPr>
          <w:rFonts w:ascii="Arial" w:hAnsi="Arial" w:cs="Arial"/>
          <w:color w:val="000000" w:themeColor="text1"/>
        </w:rPr>
        <w:t xml:space="preserve">, </w:t>
      </w:r>
      <w:r w:rsidR="00D546FF" w:rsidRPr="00BD7C72">
        <w:rPr>
          <w:rFonts w:ascii="Arial" w:hAnsi="Arial" w:cs="Arial"/>
          <w:color w:val="000000" w:themeColor="text1"/>
        </w:rPr>
        <w:t>i.e.,</w:t>
      </w:r>
      <w:r w:rsidR="001C0AD6" w:rsidRPr="00BD7C72">
        <w:rPr>
          <w:rFonts w:ascii="Arial" w:hAnsi="Arial" w:cs="Arial"/>
          <w:color w:val="000000" w:themeColor="text1"/>
        </w:rPr>
        <w:t xml:space="preserve"> o</w:t>
      </w:r>
      <w:r w:rsidRPr="00BD7C72">
        <w:rPr>
          <w:rFonts w:ascii="Arial" w:hAnsi="Arial" w:cs="Arial"/>
          <w:color w:val="000000" w:themeColor="text1"/>
        </w:rPr>
        <w:t xml:space="preserve">utcomes are the answer to the question: </w:t>
      </w:r>
      <w:r w:rsidR="00A13089">
        <w:rPr>
          <w:rFonts w:ascii="Arial" w:hAnsi="Arial" w:cs="Arial"/>
          <w:color w:val="000000" w:themeColor="text1"/>
        </w:rPr>
        <w:t>s</w:t>
      </w:r>
      <w:r w:rsidR="00A13089" w:rsidRPr="00BD7C72">
        <w:rPr>
          <w:rFonts w:ascii="Arial" w:hAnsi="Arial" w:cs="Arial"/>
          <w:color w:val="000000" w:themeColor="text1"/>
        </w:rPr>
        <w:t>o,</w:t>
      </w:r>
      <w:r w:rsidRPr="00BD7C72">
        <w:rPr>
          <w:rFonts w:ascii="Arial" w:hAnsi="Arial" w:cs="Arial"/>
          <w:color w:val="000000" w:themeColor="text1"/>
        </w:rPr>
        <w:t xml:space="preserve"> what difference does it make? </w:t>
      </w:r>
    </w:p>
    <w:p w14:paraId="45F33839" w14:textId="485552F2" w:rsidR="00A826F9" w:rsidRPr="00BD7C72" w:rsidRDefault="00A826F9" w:rsidP="00783969">
      <w:p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>Focusing on the outcomes</w:t>
      </w:r>
      <w:r w:rsidR="00D512E1" w:rsidRPr="00BD7C72">
        <w:rPr>
          <w:rFonts w:ascii="Arial" w:hAnsi="Arial" w:cs="Arial"/>
          <w:color w:val="000000" w:themeColor="text1"/>
        </w:rPr>
        <w:t xml:space="preserve"> is</w:t>
      </w:r>
      <w:r w:rsidRPr="00BD7C72">
        <w:rPr>
          <w:rFonts w:ascii="Arial" w:hAnsi="Arial" w:cs="Arial"/>
          <w:color w:val="000000" w:themeColor="text1"/>
        </w:rPr>
        <w:t xml:space="preserve"> important to </w:t>
      </w:r>
      <w:r w:rsidR="00764CD0" w:rsidRPr="00BD7C72">
        <w:rPr>
          <w:rFonts w:ascii="Arial" w:hAnsi="Arial" w:cs="Arial"/>
          <w:color w:val="000000" w:themeColor="text1"/>
        </w:rPr>
        <w:t>the adult’s</w:t>
      </w:r>
      <w:r w:rsidRPr="00BD7C72">
        <w:rPr>
          <w:rFonts w:ascii="Arial" w:hAnsi="Arial" w:cs="Arial"/>
          <w:color w:val="000000" w:themeColor="text1"/>
        </w:rPr>
        <w:t xml:space="preserve"> needs</w:t>
      </w:r>
      <w:r w:rsidR="004E0757" w:rsidRPr="00BD7C72">
        <w:rPr>
          <w:rFonts w:ascii="Arial" w:hAnsi="Arial" w:cs="Arial"/>
          <w:color w:val="000000" w:themeColor="text1"/>
        </w:rPr>
        <w:t xml:space="preserve"> and underpins the </w:t>
      </w:r>
      <w:r w:rsidRPr="00BD7C72">
        <w:rPr>
          <w:rFonts w:ascii="Arial" w:hAnsi="Arial" w:cs="Arial"/>
          <w:color w:val="000000" w:themeColor="text1"/>
        </w:rPr>
        <w:t xml:space="preserve">principle of personalised support. </w:t>
      </w:r>
    </w:p>
    <w:p w14:paraId="10A4EFB4" w14:textId="7A50C81D" w:rsidR="0032093D" w:rsidRPr="00BD7C72" w:rsidRDefault="00764CD0" w:rsidP="00783969">
      <w:p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>An outcomes focused approach:</w:t>
      </w:r>
    </w:p>
    <w:p w14:paraId="242FDD4C" w14:textId="11B864CB" w:rsidR="0032093D" w:rsidRPr="00BD7C72" w:rsidRDefault="0032093D" w:rsidP="0078396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 xml:space="preserve">Supports practitioners to be clear about the purpose of the intervention, and to specify how long intervention should take. </w:t>
      </w:r>
    </w:p>
    <w:p w14:paraId="69FF81E8" w14:textId="136AF1F8" w:rsidR="0032093D" w:rsidRPr="00BD7C72" w:rsidRDefault="0032093D" w:rsidP="0078396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>Enables greater clarity about what will make a difference in the person’s life</w:t>
      </w:r>
    </w:p>
    <w:p w14:paraId="05E9789B" w14:textId="30358112" w:rsidR="0032093D" w:rsidRPr="00BD7C72" w:rsidRDefault="00764CD0" w:rsidP="0078396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>Gives the adult a voice in saying what is important to them in their lives</w:t>
      </w:r>
    </w:p>
    <w:p w14:paraId="17B06C2C" w14:textId="79321ACA" w:rsidR="00764CD0" w:rsidRPr="00BD7C72" w:rsidRDefault="00764CD0" w:rsidP="0078396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 xml:space="preserve">Helps to clarify the responsibilities of those involved including </w:t>
      </w:r>
      <w:r w:rsidR="004E0757" w:rsidRPr="00BD7C72">
        <w:rPr>
          <w:rFonts w:ascii="Arial" w:hAnsi="Arial" w:cs="Arial"/>
          <w:color w:val="000000" w:themeColor="text1"/>
        </w:rPr>
        <w:t xml:space="preserve">the adult, carers and </w:t>
      </w:r>
      <w:r w:rsidRPr="00BD7C72">
        <w:rPr>
          <w:rFonts w:ascii="Arial" w:hAnsi="Arial" w:cs="Arial"/>
          <w:color w:val="000000" w:themeColor="text1"/>
        </w:rPr>
        <w:t xml:space="preserve">staff </w:t>
      </w:r>
    </w:p>
    <w:p w14:paraId="7FD4B9CD" w14:textId="66A9FB5A" w:rsidR="00764CD0" w:rsidRPr="00BD7C72" w:rsidRDefault="00764CD0" w:rsidP="0078396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>Maximises a solution-focused approach to practice which recognises strengths and resources</w:t>
      </w:r>
    </w:p>
    <w:p w14:paraId="0C891733" w14:textId="77777777" w:rsidR="001C0AD6" w:rsidRPr="00BD7C72" w:rsidRDefault="001C0AD6" w:rsidP="0078396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>Maximises the involvement and participation of the person using support in shaping the nature of the support offered and his / her part in the plan</w:t>
      </w:r>
    </w:p>
    <w:p w14:paraId="7FCD62C0" w14:textId="77777777" w:rsidR="001C0AD6" w:rsidRPr="00BD7C72" w:rsidRDefault="001C0AD6" w:rsidP="0078396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>Maximises the potential contribution of natural, community based supports</w:t>
      </w:r>
    </w:p>
    <w:p w14:paraId="19CED2A4" w14:textId="77777777" w:rsidR="001C0AD6" w:rsidRPr="00BD7C72" w:rsidRDefault="001C0AD6" w:rsidP="0078396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 xml:space="preserve">Facilitates conversations about what is possible and supports creative thinking </w:t>
      </w:r>
    </w:p>
    <w:p w14:paraId="196B6B9C" w14:textId="4453AA1D" w:rsidR="003D5359" w:rsidRPr="00BD7C72" w:rsidRDefault="001C0AD6" w:rsidP="0078396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 xml:space="preserve">Creates opportunities for culture change from processes and procedures to impact and value </w:t>
      </w:r>
    </w:p>
    <w:p w14:paraId="58B1F5B9" w14:textId="1E065011" w:rsidR="00EB5458" w:rsidRDefault="00EB5458" w:rsidP="00783969">
      <w:p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>Research states that person-centred planning involves taking the person’s aspirations, preferences and opinions as a starting point and mobilising the person’s family and friends (Symonds et al., 2020). It’s about not starting with available services or options, and then trying to fit someone into them. </w:t>
      </w:r>
    </w:p>
    <w:p w14:paraId="67E7168D" w14:textId="77777777" w:rsidR="001E1E17" w:rsidRDefault="001E1E17" w:rsidP="00783969">
      <w:pPr>
        <w:jc w:val="both"/>
        <w:rPr>
          <w:rFonts w:ascii="Arial" w:hAnsi="Arial" w:cs="Arial"/>
          <w:color w:val="000000" w:themeColor="text1"/>
        </w:rPr>
      </w:pPr>
    </w:p>
    <w:p w14:paraId="208D707B" w14:textId="77777777" w:rsidR="001E1E17" w:rsidRPr="00BD7C72" w:rsidRDefault="001E1E17" w:rsidP="00783969">
      <w:pPr>
        <w:jc w:val="both"/>
        <w:rPr>
          <w:rFonts w:ascii="Arial" w:hAnsi="Arial" w:cs="Arial"/>
          <w:color w:val="000000" w:themeColor="text1"/>
        </w:rPr>
      </w:pPr>
    </w:p>
    <w:p w14:paraId="6DB1A6B9" w14:textId="77777777" w:rsidR="00A40590" w:rsidRPr="00BD7C72" w:rsidRDefault="00A40590" w:rsidP="00783969">
      <w:pPr>
        <w:jc w:val="both"/>
        <w:rPr>
          <w:rFonts w:ascii="Arial" w:hAnsi="Arial" w:cs="Arial"/>
          <w:color w:val="000000" w:themeColor="text1"/>
        </w:rPr>
      </w:pPr>
    </w:p>
    <w:p w14:paraId="0A71449B" w14:textId="4FEAA5CE" w:rsidR="000D461C" w:rsidRPr="00BD7C72" w:rsidRDefault="00A826F9" w:rsidP="000909D3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BD7C72">
        <w:rPr>
          <w:rFonts w:ascii="Arial" w:hAnsi="Arial" w:cs="Arial"/>
          <w:b/>
          <w:bCs/>
          <w:color w:val="000000" w:themeColor="text1"/>
          <w:u w:val="single"/>
        </w:rPr>
        <w:lastRenderedPageBreak/>
        <w:t xml:space="preserve">SMART Practice in Adult Protection </w:t>
      </w:r>
    </w:p>
    <w:p w14:paraId="2B0AC867" w14:textId="7C600FFB" w:rsidR="00B632A8" w:rsidRPr="00BD7C72" w:rsidRDefault="0032093D" w:rsidP="000909D3">
      <w:pPr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 xml:space="preserve">As part of the planning process to improve outcomes, practitioners and managers should always work </w:t>
      </w:r>
      <w:r w:rsidRPr="00BD7C72">
        <w:rPr>
          <w:rFonts w:ascii="Arial" w:hAnsi="Arial" w:cs="Arial"/>
          <w:b/>
          <w:bCs/>
          <w:color w:val="000000" w:themeColor="text1"/>
        </w:rPr>
        <w:t>SMART</w:t>
      </w:r>
      <w:r w:rsidRPr="00BD7C72">
        <w:rPr>
          <w:rFonts w:ascii="Arial" w:hAnsi="Arial" w:cs="Arial"/>
          <w:color w:val="000000" w:themeColor="text1"/>
        </w:rPr>
        <w:t xml:space="preserve"> and this approach should be reflected within protection plans: 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769"/>
        <w:gridCol w:w="2618"/>
        <w:gridCol w:w="6387"/>
      </w:tblGrid>
      <w:tr w:rsidR="00BD7C72" w:rsidRPr="00BD7C72" w14:paraId="1853E435" w14:textId="77777777" w:rsidTr="00291153">
        <w:tc>
          <w:tcPr>
            <w:tcW w:w="1418" w:type="dxa"/>
          </w:tcPr>
          <w:p w14:paraId="721D370C" w14:textId="20CD4A36" w:rsidR="00B632A8" w:rsidRPr="00BD7C72" w:rsidRDefault="00B632A8" w:rsidP="00D546F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D7C72">
              <w:rPr>
                <w:rFonts w:ascii="Arial" w:hAnsi="Arial" w:cs="Arial"/>
                <w:b/>
                <w:bCs/>
                <w:color w:val="000000" w:themeColor="text1"/>
              </w:rPr>
              <w:t>SPECIFIC</w:t>
            </w:r>
          </w:p>
        </w:tc>
        <w:tc>
          <w:tcPr>
            <w:tcW w:w="2695" w:type="dxa"/>
          </w:tcPr>
          <w:p w14:paraId="65D5C96F" w14:textId="224DB75C" w:rsidR="00B632A8" w:rsidRPr="00BD7C72" w:rsidRDefault="00B632A8" w:rsidP="0078396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7C72">
              <w:rPr>
                <w:rFonts w:ascii="Arial" w:hAnsi="Arial" w:cs="Arial"/>
                <w:color w:val="000000" w:themeColor="text1"/>
              </w:rPr>
              <w:t xml:space="preserve">Target a specific area for improvement </w:t>
            </w:r>
          </w:p>
        </w:tc>
        <w:tc>
          <w:tcPr>
            <w:tcW w:w="6661" w:type="dxa"/>
          </w:tcPr>
          <w:p w14:paraId="1D2942D8" w14:textId="6DA1F933" w:rsidR="00766E25" w:rsidRPr="00BD7C72" w:rsidRDefault="00766E25" w:rsidP="00B632A8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D7C72">
              <w:rPr>
                <w:rFonts w:ascii="Arial" w:hAnsi="Arial" w:cs="Arial"/>
                <w:color w:val="000000" w:themeColor="text1"/>
              </w:rPr>
              <w:t xml:space="preserve">What exactly are we going to do? With or for whom? </w:t>
            </w:r>
          </w:p>
          <w:p w14:paraId="79E210CF" w14:textId="6655F1BE" w:rsidR="00783969" w:rsidRPr="00BD7C72" w:rsidRDefault="00783969" w:rsidP="00B632A8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D7C72">
              <w:rPr>
                <w:rFonts w:ascii="Arial" w:hAnsi="Arial" w:cs="Arial"/>
                <w:color w:val="000000" w:themeColor="text1"/>
              </w:rPr>
              <w:t>Who is responsible for each action? (be specific i.e. the professionals name)</w:t>
            </w:r>
          </w:p>
          <w:p w14:paraId="52F60DE4" w14:textId="44202E24" w:rsidR="00766E25" w:rsidRPr="00BD7C72" w:rsidRDefault="00766E25" w:rsidP="00B632A8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D7C72">
              <w:rPr>
                <w:rFonts w:ascii="Arial" w:hAnsi="Arial" w:cs="Arial"/>
                <w:color w:val="000000" w:themeColor="text1"/>
              </w:rPr>
              <w:t xml:space="preserve">What is the actual outcome you want to achieve for the adult? This must be well defined and clear from the outset. </w:t>
            </w:r>
          </w:p>
          <w:p w14:paraId="447FD139" w14:textId="2196FD63" w:rsidR="00766E25" w:rsidRPr="00BD7C72" w:rsidRDefault="00766E25" w:rsidP="00B632A8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D7C72">
              <w:rPr>
                <w:rFonts w:ascii="Arial" w:hAnsi="Arial" w:cs="Arial"/>
                <w:color w:val="000000" w:themeColor="text1"/>
              </w:rPr>
              <w:t>Ask yourself: At the end of the planned activities, what will have changed for the adult?</w:t>
            </w:r>
          </w:p>
          <w:p w14:paraId="559D8DC0" w14:textId="77777777" w:rsidR="00B632A8" w:rsidRPr="00BD7C72" w:rsidRDefault="00B632A8" w:rsidP="00090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D7C72" w:rsidRPr="00BD7C72" w14:paraId="42AF492B" w14:textId="77777777" w:rsidTr="00291153">
        <w:tc>
          <w:tcPr>
            <w:tcW w:w="1418" w:type="dxa"/>
          </w:tcPr>
          <w:p w14:paraId="6566767B" w14:textId="471DA9BC" w:rsidR="00B632A8" w:rsidRPr="00BD7C72" w:rsidRDefault="00B632A8" w:rsidP="0029115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D7C72">
              <w:rPr>
                <w:rFonts w:ascii="Arial" w:hAnsi="Arial" w:cs="Arial"/>
                <w:b/>
                <w:bCs/>
                <w:color w:val="000000" w:themeColor="text1"/>
              </w:rPr>
              <w:t>MEASURABLE</w:t>
            </w:r>
          </w:p>
        </w:tc>
        <w:tc>
          <w:tcPr>
            <w:tcW w:w="2695" w:type="dxa"/>
          </w:tcPr>
          <w:p w14:paraId="1B2D00B0" w14:textId="77777777" w:rsidR="00B632A8" w:rsidRPr="00BD7C72" w:rsidRDefault="00B632A8" w:rsidP="00B632A8">
            <w:pPr>
              <w:rPr>
                <w:rFonts w:ascii="Arial" w:hAnsi="Arial" w:cs="Arial"/>
                <w:color w:val="000000" w:themeColor="text1"/>
              </w:rPr>
            </w:pPr>
            <w:r w:rsidRPr="00BD7C72">
              <w:rPr>
                <w:rFonts w:ascii="Arial" w:hAnsi="Arial" w:cs="Arial"/>
                <w:color w:val="000000" w:themeColor="text1"/>
              </w:rPr>
              <w:t xml:space="preserve">Quantify or at least suggest an indicator of progress. </w:t>
            </w:r>
          </w:p>
          <w:p w14:paraId="26DC337D" w14:textId="77777777" w:rsidR="00B632A8" w:rsidRPr="00BD7C72" w:rsidRDefault="00B632A8" w:rsidP="00090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61" w:type="dxa"/>
          </w:tcPr>
          <w:p w14:paraId="46CF475A" w14:textId="77777777" w:rsidR="00766E25" w:rsidRPr="00BD7C72" w:rsidRDefault="00766E25" w:rsidP="00B632A8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D7C72">
              <w:rPr>
                <w:rFonts w:ascii="Arial" w:hAnsi="Arial" w:cs="Arial"/>
                <w:color w:val="000000" w:themeColor="text1"/>
              </w:rPr>
              <w:t xml:space="preserve">How will you know when the outcome has been achieved? </w:t>
            </w:r>
          </w:p>
          <w:p w14:paraId="18F12AAE" w14:textId="77777777" w:rsidR="00766E25" w:rsidRPr="00BD7C72" w:rsidRDefault="00766E25" w:rsidP="00B632A8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D7C72">
              <w:rPr>
                <w:rFonts w:ascii="Arial" w:hAnsi="Arial" w:cs="Arial"/>
                <w:color w:val="000000" w:themeColor="text1"/>
              </w:rPr>
              <w:t xml:space="preserve">How will you measure progress towards the outcome? </w:t>
            </w:r>
          </w:p>
          <w:p w14:paraId="76FF06A9" w14:textId="77777777" w:rsidR="00766E25" w:rsidRPr="00BD7C72" w:rsidRDefault="00766E25" w:rsidP="00B632A8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D7C72">
              <w:rPr>
                <w:rFonts w:ascii="Arial" w:hAnsi="Arial" w:cs="Arial"/>
                <w:color w:val="000000" w:themeColor="text1"/>
              </w:rPr>
              <w:t xml:space="preserve">For example: Through </w:t>
            </w:r>
            <w:proofErr w:type="spellStart"/>
            <w:r w:rsidRPr="00BD7C72">
              <w:rPr>
                <w:rFonts w:ascii="Arial" w:hAnsi="Arial" w:cs="Arial"/>
                <w:color w:val="000000" w:themeColor="text1"/>
              </w:rPr>
              <w:t>self reporting</w:t>
            </w:r>
            <w:proofErr w:type="spellEnd"/>
            <w:r w:rsidRPr="00BD7C72">
              <w:rPr>
                <w:rFonts w:ascii="Arial" w:hAnsi="Arial" w:cs="Arial"/>
                <w:color w:val="000000" w:themeColor="text1"/>
              </w:rPr>
              <w:t>, observation of behaviour, feedback or discussion?</w:t>
            </w:r>
          </w:p>
          <w:p w14:paraId="68AFFDFA" w14:textId="77777777" w:rsidR="00B632A8" w:rsidRPr="00BD7C72" w:rsidRDefault="00B632A8" w:rsidP="00090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D7C72" w:rsidRPr="00BD7C72" w14:paraId="4F43860D" w14:textId="77777777" w:rsidTr="00291153">
        <w:tc>
          <w:tcPr>
            <w:tcW w:w="1418" w:type="dxa"/>
          </w:tcPr>
          <w:p w14:paraId="5996DF4B" w14:textId="58057433" w:rsidR="00B632A8" w:rsidRPr="00BD7C72" w:rsidRDefault="00B632A8" w:rsidP="0029115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D7C72">
              <w:rPr>
                <w:rFonts w:ascii="Arial" w:hAnsi="Arial" w:cs="Arial"/>
                <w:b/>
                <w:bCs/>
                <w:color w:val="000000" w:themeColor="text1"/>
              </w:rPr>
              <w:t>ACHIEVABLE</w:t>
            </w:r>
          </w:p>
        </w:tc>
        <w:tc>
          <w:tcPr>
            <w:tcW w:w="2695" w:type="dxa"/>
          </w:tcPr>
          <w:p w14:paraId="0C0136F0" w14:textId="673D7601" w:rsidR="00B632A8" w:rsidRPr="00BD7C72" w:rsidRDefault="00B632A8" w:rsidP="000909D3">
            <w:pPr>
              <w:rPr>
                <w:rFonts w:ascii="Arial" w:hAnsi="Arial" w:cs="Arial"/>
                <w:color w:val="000000" w:themeColor="text1"/>
              </w:rPr>
            </w:pPr>
            <w:r w:rsidRPr="00BD7C72">
              <w:rPr>
                <w:rFonts w:ascii="Arial" w:hAnsi="Arial" w:cs="Arial"/>
                <w:color w:val="000000" w:themeColor="text1"/>
              </w:rPr>
              <w:t>Be able to specify who will do it.</w:t>
            </w:r>
          </w:p>
        </w:tc>
        <w:tc>
          <w:tcPr>
            <w:tcW w:w="6661" w:type="dxa"/>
          </w:tcPr>
          <w:p w14:paraId="49FB81BF" w14:textId="77777777" w:rsidR="00766E25" w:rsidRPr="00BD7C72" w:rsidRDefault="00766E25" w:rsidP="00B632A8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D7C72">
              <w:rPr>
                <w:rFonts w:ascii="Arial" w:hAnsi="Arial" w:cs="Arial"/>
                <w:color w:val="000000" w:themeColor="text1"/>
              </w:rPr>
              <w:t xml:space="preserve">Can we realistically get this done in the timeframe? Are resources achievable to do meet this outcome? </w:t>
            </w:r>
          </w:p>
          <w:p w14:paraId="50AD5480" w14:textId="77777777" w:rsidR="00766E25" w:rsidRPr="00BD7C72" w:rsidRDefault="00766E25" w:rsidP="00B632A8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D7C72">
              <w:rPr>
                <w:rFonts w:ascii="Arial" w:hAnsi="Arial" w:cs="Arial"/>
                <w:color w:val="000000" w:themeColor="text1"/>
              </w:rPr>
              <w:t>If not, how can I overcome this?</w:t>
            </w:r>
          </w:p>
          <w:p w14:paraId="248FA3B8" w14:textId="48558372" w:rsidR="00766E25" w:rsidRPr="00BD7C72" w:rsidRDefault="00766E25" w:rsidP="00B632A8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D7C72">
              <w:rPr>
                <w:rFonts w:ascii="Arial" w:hAnsi="Arial" w:cs="Arial"/>
                <w:color w:val="000000" w:themeColor="text1"/>
              </w:rPr>
              <w:t>Outcomes must be achievable and not be beyond the adult, family or service capability.</w:t>
            </w:r>
          </w:p>
          <w:p w14:paraId="35888EEE" w14:textId="7BF0D942" w:rsidR="00766E25" w:rsidRPr="00BD7C72" w:rsidRDefault="00766E25" w:rsidP="00B632A8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D7C72">
              <w:rPr>
                <w:rFonts w:ascii="Arial" w:hAnsi="Arial" w:cs="Arial"/>
                <w:color w:val="000000" w:themeColor="text1"/>
              </w:rPr>
              <w:t xml:space="preserve">Actions can be broken down into smaller actions / tasks </w:t>
            </w:r>
            <w:proofErr w:type="gramStart"/>
            <w:r w:rsidRPr="00BD7C72">
              <w:rPr>
                <w:rFonts w:ascii="Arial" w:hAnsi="Arial" w:cs="Arial"/>
                <w:color w:val="000000" w:themeColor="text1"/>
              </w:rPr>
              <w:t>in order to</w:t>
            </w:r>
            <w:proofErr w:type="gramEnd"/>
            <w:r w:rsidRPr="00BD7C72">
              <w:rPr>
                <w:rFonts w:ascii="Arial" w:hAnsi="Arial" w:cs="Arial"/>
                <w:color w:val="000000" w:themeColor="text1"/>
              </w:rPr>
              <w:t xml:space="preserve"> support the meeting of the actual outcome</w:t>
            </w:r>
            <w:r w:rsidR="0032093D" w:rsidRPr="00BD7C72">
              <w:rPr>
                <w:rFonts w:ascii="Arial" w:hAnsi="Arial" w:cs="Arial"/>
                <w:color w:val="000000" w:themeColor="text1"/>
              </w:rPr>
              <w:t>.</w:t>
            </w:r>
          </w:p>
          <w:p w14:paraId="25A53DE0" w14:textId="77777777" w:rsidR="00B632A8" w:rsidRPr="00BD7C72" w:rsidRDefault="00B632A8" w:rsidP="00090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D7C72" w:rsidRPr="00BD7C72" w14:paraId="6CC36FDC" w14:textId="77777777" w:rsidTr="00291153">
        <w:tc>
          <w:tcPr>
            <w:tcW w:w="1418" w:type="dxa"/>
          </w:tcPr>
          <w:p w14:paraId="6C7A8C18" w14:textId="32D1FA37" w:rsidR="00B632A8" w:rsidRPr="00BD7C72" w:rsidRDefault="00B632A8" w:rsidP="0029115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D7C72">
              <w:rPr>
                <w:rFonts w:ascii="Arial" w:hAnsi="Arial" w:cs="Arial"/>
                <w:b/>
                <w:bCs/>
                <w:color w:val="000000" w:themeColor="text1"/>
              </w:rPr>
              <w:t>REALISTIC</w:t>
            </w:r>
          </w:p>
        </w:tc>
        <w:tc>
          <w:tcPr>
            <w:tcW w:w="2695" w:type="dxa"/>
          </w:tcPr>
          <w:p w14:paraId="3E626606" w14:textId="77777777" w:rsidR="00B632A8" w:rsidRPr="00BD7C72" w:rsidRDefault="00B632A8" w:rsidP="000909D3">
            <w:pPr>
              <w:rPr>
                <w:rFonts w:ascii="Arial" w:hAnsi="Arial" w:cs="Arial"/>
                <w:color w:val="000000" w:themeColor="text1"/>
              </w:rPr>
            </w:pPr>
            <w:r w:rsidRPr="00BD7C72">
              <w:rPr>
                <w:rFonts w:ascii="Arial" w:hAnsi="Arial" w:cs="Arial"/>
                <w:color w:val="000000" w:themeColor="text1"/>
              </w:rPr>
              <w:t>State what results can realistically be achieved, with available resources</w:t>
            </w:r>
          </w:p>
          <w:p w14:paraId="345D59B9" w14:textId="4E8E265C" w:rsidR="0032093D" w:rsidRPr="00BD7C72" w:rsidRDefault="0032093D" w:rsidP="00090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61" w:type="dxa"/>
          </w:tcPr>
          <w:p w14:paraId="2D635DDA" w14:textId="1DF366F6" w:rsidR="00766E25" w:rsidRPr="00BD7C72" w:rsidRDefault="00766E25" w:rsidP="00B632A8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D7C72">
              <w:rPr>
                <w:rFonts w:ascii="Arial" w:hAnsi="Arial" w:cs="Arial"/>
                <w:color w:val="000000" w:themeColor="text1"/>
              </w:rPr>
              <w:t>Is the outcome relevant to the adult</w:t>
            </w:r>
            <w:r w:rsidR="0032093D" w:rsidRPr="00BD7C7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D7C72">
              <w:rPr>
                <w:rFonts w:ascii="Arial" w:hAnsi="Arial" w:cs="Arial"/>
                <w:color w:val="000000" w:themeColor="text1"/>
              </w:rPr>
              <w:t xml:space="preserve">and proportionate? Is it really within reach and possible? </w:t>
            </w:r>
          </w:p>
          <w:p w14:paraId="5814506E" w14:textId="77777777" w:rsidR="00766E25" w:rsidRPr="00BD7C72" w:rsidRDefault="00766E25" w:rsidP="00B632A8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D7C72">
              <w:rPr>
                <w:rFonts w:ascii="Arial" w:hAnsi="Arial" w:cs="Arial"/>
                <w:color w:val="000000" w:themeColor="text1"/>
              </w:rPr>
              <w:t>Is the outcome time-limited</w:t>
            </w:r>
          </w:p>
          <w:p w14:paraId="7C47E259" w14:textId="77777777" w:rsidR="00B632A8" w:rsidRPr="00BD7C72" w:rsidRDefault="00B632A8" w:rsidP="00090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632A8" w:rsidRPr="00BD7C72" w14:paraId="7501C585" w14:textId="77777777" w:rsidTr="00291153">
        <w:tc>
          <w:tcPr>
            <w:tcW w:w="1418" w:type="dxa"/>
          </w:tcPr>
          <w:p w14:paraId="20A72AC2" w14:textId="3E831DDE" w:rsidR="00B632A8" w:rsidRPr="00BD7C72" w:rsidRDefault="00B632A8" w:rsidP="0029115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D7C72">
              <w:rPr>
                <w:rFonts w:ascii="Arial" w:hAnsi="Arial" w:cs="Arial"/>
                <w:b/>
                <w:bCs/>
                <w:color w:val="000000" w:themeColor="text1"/>
              </w:rPr>
              <w:t>TIME LIMITED</w:t>
            </w:r>
          </w:p>
        </w:tc>
        <w:tc>
          <w:tcPr>
            <w:tcW w:w="2695" w:type="dxa"/>
          </w:tcPr>
          <w:p w14:paraId="4820143E" w14:textId="1E015650" w:rsidR="00B632A8" w:rsidRPr="00BD7C72" w:rsidRDefault="00B632A8" w:rsidP="000909D3">
            <w:pPr>
              <w:rPr>
                <w:rFonts w:ascii="Arial" w:hAnsi="Arial" w:cs="Arial"/>
                <w:color w:val="000000" w:themeColor="text1"/>
              </w:rPr>
            </w:pPr>
            <w:r w:rsidRPr="00BD7C72">
              <w:rPr>
                <w:rFonts w:ascii="Arial" w:hAnsi="Arial" w:cs="Arial"/>
                <w:color w:val="000000" w:themeColor="text1"/>
              </w:rPr>
              <w:t>Specify when the result(s) can be achieved</w:t>
            </w:r>
          </w:p>
        </w:tc>
        <w:tc>
          <w:tcPr>
            <w:tcW w:w="6661" w:type="dxa"/>
          </w:tcPr>
          <w:p w14:paraId="26088EDB" w14:textId="77777777" w:rsidR="00766E25" w:rsidRPr="00BD7C72" w:rsidRDefault="00766E25" w:rsidP="00B632A8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D7C72">
              <w:rPr>
                <w:rFonts w:ascii="Arial" w:hAnsi="Arial" w:cs="Arial"/>
                <w:color w:val="000000" w:themeColor="text1"/>
              </w:rPr>
              <w:t xml:space="preserve">By when do we want to achieve change? </w:t>
            </w:r>
          </w:p>
          <w:p w14:paraId="315D2C58" w14:textId="77777777" w:rsidR="00766E25" w:rsidRPr="00BD7C72" w:rsidRDefault="00766E25" w:rsidP="00B632A8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D7C72">
              <w:rPr>
                <w:rFonts w:ascii="Arial" w:hAnsi="Arial" w:cs="Arial"/>
                <w:color w:val="000000" w:themeColor="text1"/>
              </w:rPr>
              <w:t>Set specific timescales for each stage and don’t worry if your initial time frame is not met, you can extend it if necessary.</w:t>
            </w:r>
          </w:p>
          <w:p w14:paraId="5E7AFC11" w14:textId="77777777" w:rsidR="00766E25" w:rsidRPr="00BD7C72" w:rsidRDefault="00766E25" w:rsidP="00B632A8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D7C72">
              <w:rPr>
                <w:rFonts w:ascii="Arial" w:hAnsi="Arial" w:cs="Arial"/>
                <w:b/>
                <w:bCs/>
                <w:color w:val="000000" w:themeColor="text1"/>
              </w:rPr>
              <w:t>Avoid</w:t>
            </w:r>
            <w:r w:rsidRPr="00BD7C72">
              <w:rPr>
                <w:rFonts w:ascii="Arial" w:hAnsi="Arial" w:cs="Arial"/>
                <w:color w:val="000000" w:themeColor="text1"/>
              </w:rPr>
              <w:t xml:space="preserve"> the use of </w:t>
            </w:r>
            <w:proofErr w:type="gramStart"/>
            <w:r w:rsidRPr="00BD7C72">
              <w:rPr>
                <w:rFonts w:ascii="Arial" w:hAnsi="Arial" w:cs="Arial"/>
                <w:color w:val="000000" w:themeColor="text1"/>
              </w:rPr>
              <w:t>‘”ongoing</w:t>
            </w:r>
            <w:proofErr w:type="gramEnd"/>
            <w:r w:rsidRPr="00BD7C72">
              <w:rPr>
                <w:rFonts w:ascii="Arial" w:hAnsi="Arial" w:cs="Arial"/>
                <w:color w:val="000000" w:themeColor="text1"/>
              </w:rPr>
              <w:t xml:space="preserve">” in all records. This can lead to </w:t>
            </w:r>
            <w:proofErr w:type="gramStart"/>
            <w:r w:rsidRPr="00BD7C72">
              <w:rPr>
                <w:rFonts w:ascii="Arial" w:hAnsi="Arial" w:cs="Arial"/>
                <w:color w:val="000000" w:themeColor="text1"/>
              </w:rPr>
              <w:t>drift</w:t>
            </w:r>
            <w:proofErr w:type="gramEnd"/>
            <w:r w:rsidRPr="00BD7C72">
              <w:rPr>
                <w:rFonts w:ascii="Arial" w:hAnsi="Arial" w:cs="Arial"/>
                <w:color w:val="000000" w:themeColor="text1"/>
              </w:rPr>
              <w:t xml:space="preserve"> and we can lose sight of intended goals. </w:t>
            </w:r>
          </w:p>
          <w:p w14:paraId="11B5581B" w14:textId="77777777" w:rsidR="00B632A8" w:rsidRPr="00BD7C72" w:rsidRDefault="00B632A8" w:rsidP="000909D3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ECE341C" w14:textId="1FF02F1A" w:rsidR="00B632A8" w:rsidRPr="00BD7C72" w:rsidRDefault="00B632A8" w:rsidP="000909D3">
      <w:pPr>
        <w:rPr>
          <w:rFonts w:ascii="Arial" w:hAnsi="Arial" w:cs="Arial"/>
          <w:color w:val="000000" w:themeColor="text1"/>
        </w:rPr>
      </w:pPr>
    </w:p>
    <w:p w14:paraId="5C4BC060" w14:textId="36FE18BA" w:rsidR="009A0FD6" w:rsidRPr="00BD7C72" w:rsidRDefault="009A0FD6" w:rsidP="00783969">
      <w:p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 xml:space="preserve">One of the benefits of using </w:t>
      </w:r>
      <w:r w:rsidRPr="00BD7C72">
        <w:rPr>
          <w:rFonts w:ascii="Arial" w:hAnsi="Arial" w:cs="Arial"/>
          <w:b/>
          <w:bCs/>
          <w:color w:val="000000" w:themeColor="text1"/>
        </w:rPr>
        <w:t>SMART</w:t>
      </w:r>
      <w:r w:rsidRPr="00BD7C72">
        <w:rPr>
          <w:rFonts w:ascii="Arial" w:hAnsi="Arial" w:cs="Arial"/>
          <w:color w:val="000000" w:themeColor="text1"/>
        </w:rPr>
        <w:t xml:space="preserve"> principles in protection planning is that it has the potential to make expectations much clearer for all concerned. In situations of adult protection, it can </w:t>
      </w:r>
      <w:r w:rsidRPr="00BD7C72">
        <w:rPr>
          <w:rFonts w:ascii="Arial" w:hAnsi="Arial" w:cs="Arial"/>
          <w:color w:val="000000" w:themeColor="text1"/>
        </w:rPr>
        <w:lastRenderedPageBreak/>
        <w:t>help adults, carers and other family members to understand what they need to do and by when. In situations of multi-agency working, it can help professionals from all agencies to understand their own and other agency’s responsibilities.</w:t>
      </w:r>
    </w:p>
    <w:p w14:paraId="73C0A188" w14:textId="77777777" w:rsidR="009A0FD6" w:rsidRPr="00BD7C72" w:rsidRDefault="009A0FD6" w:rsidP="00783969">
      <w:pPr>
        <w:jc w:val="both"/>
        <w:rPr>
          <w:rFonts w:ascii="Arial" w:hAnsi="Arial" w:cs="Arial"/>
          <w:color w:val="000000" w:themeColor="text1"/>
        </w:rPr>
      </w:pPr>
    </w:p>
    <w:p w14:paraId="711A4F1F" w14:textId="7C88CBFF" w:rsidR="00A826F9" w:rsidRPr="00BD7C72" w:rsidRDefault="00A826F9" w:rsidP="00783969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BD7C72">
        <w:rPr>
          <w:rFonts w:ascii="Arial" w:hAnsi="Arial" w:cs="Arial"/>
          <w:b/>
          <w:bCs/>
          <w:color w:val="000000" w:themeColor="text1"/>
          <w:u w:val="single"/>
        </w:rPr>
        <w:t>The Views of the Adult</w:t>
      </w:r>
    </w:p>
    <w:p w14:paraId="057CF72B" w14:textId="77777777" w:rsidR="00E738E7" w:rsidRPr="00BD7C72" w:rsidRDefault="00A826F9" w:rsidP="00783969">
      <w:p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 xml:space="preserve">Practitioners and managers across the multi-agency workforce must listen carefully to what adults, their families and partners have to say. </w:t>
      </w:r>
      <w:r w:rsidR="0032093D" w:rsidRPr="00BD7C72">
        <w:rPr>
          <w:rFonts w:ascii="Arial" w:hAnsi="Arial" w:cs="Arial"/>
          <w:color w:val="000000" w:themeColor="text1"/>
        </w:rPr>
        <w:t>Identifying the outcomes important to the adult is a crucial first step.</w:t>
      </w:r>
      <w:r w:rsidR="00E738E7" w:rsidRPr="00BD7C72">
        <w:rPr>
          <w:rFonts w:ascii="Arial" w:hAnsi="Arial" w:cs="Arial"/>
          <w:color w:val="000000" w:themeColor="text1"/>
        </w:rPr>
        <w:t xml:space="preserve"> </w:t>
      </w:r>
    </w:p>
    <w:p w14:paraId="52339E47" w14:textId="3AF4DAA2" w:rsidR="00E738E7" w:rsidRPr="00BD7C72" w:rsidRDefault="00E738E7" w:rsidP="0078396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D7C72">
        <w:rPr>
          <w:rFonts w:ascii="Arial" w:eastAsia="Times New Roman" w:hAnsi="Arial" w:cs="Arial"/>
          <w:color w:val="000000" w:themeColor="text1"/>
          <w:lang w:eastAsia="en-GB"/>
        </w:rPr>
        <w:t>Listening is a key part of ‘professional curiosity’</w:t>
      </w:r>
      <w:r w:rsidR="00783969" w:rsidRPr="00BD7C72">
        <w:rPr>
          <w:rFonts w:ascii="Arial" w:eastAsia="Times New Roman" w:hAnsi="Arial" w:cs="Arial"/>
          <w:color w:val="000000" w:themeColor="text1"/>
          <w:lang w:eastAsia="en-GB"/>
        </w:rPr>
        <w:t xml:space="preserve"> and </w:t>
      </w:r>
      <w:r w:rsidRPr="00BD7C72">
        <w:rPr>
          <w:rFonts w:ascii="Arial" w:eastAsia="Times New Roman" w:hAnsi="Arial" w:cs="Arial"/>
          <w:color w:val="000000" w:themeColor="text1"/>
          <w:lang w:eastAsia="en-GB"/>
        </w:rPr>
        <w:t>a vital skill in adult</w:t>
      </w:r>
      <w:r w:rsidR="00783969" w:rsidRPr="00BD7C72">
        <w:rPr>
          <w:rFonts w:ascii="Arial" w:eastAsia="Times New Roman" w:hAnsi="Arial" w:cs="Arial"/>
          <w:color w:val="000000" w:themeColor="text1"/>
          <w:lang w:eastAsia="en-GB"/>
        </w:rPr>
        <w:t xml:space="preserve"> protection, i</w:t>
      </w:r>
      <w:r w:rsidRPr="00BD7C72">
        <w:rPr>
          <w:rFonts w:ascii="Arial" w:eastAsia="Times New Roman" w:hAnsi="Arial" w:cs="Arial"/>
          <w:color w:val="000000" w:themeColor="text1"/>
          <w:lang w:eastAsia="en-GB"/>
        </w:rPr>
        <w:t>t means that you question and challenge the information you receive, identify concerns</w:t>
      </w:r>
      <w:r w:rsidR="00783969" w:rsidRPr="00BD7C72">
        <w:rPr>
          <w:rFonts w:ascii="Arial" w:eastAsia="Times New Roman" w:hAnsi="Arial" w:cs="Arial"/>
          <w:color w:val="000000" w:themeColor="text1"/>
          <w:lang w:eastAsia="en-GB"/>
        </w:rPr>
        <w:t>,</w:t>
      </w:r>
      <w:r w:rsidRPr="00BD7C72">
        <w:rPr>
          <w:rFonts w:ascii="Arial" w:eastAsia="Times New Roman" w:hAnsi="Arial" w:cs="Arial"/>
          <w:color w:val="000000" w:themeColor="text1"/>
          <w:lang w:eastAsia="en-GB"/>
        </w:rPr>
        <w:t xml:space="preserve"> and make connections to enable a greater understanding of a person’s situation (Thacker, Anka &amp; Penhale, 2020). Professional curiosity is about having an interest in a person’s story, remaining open-minded, and being prepared to have difficult conversations.</w:t>
      </w:r>
    </w:p>
    <w:p w14:paraId="214BF817" w14:textId="67625348" w:rsidR="00E738E7" w:rsidRPr="00BD7C72" w:rsidRDefault="00E738E7" w:rsidP="0078396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D7C72">
        <w:rPr>
          <w:rFonts w:ascii="Arial" w:eastAsia="Times New Roman" w:hAnsi="Arial" w:cs="Arial"/>
          <w:color w:val="000000" w:themeColor="text1"/>
          <w:lang w:eastAsia="en-GB"/>
        </w:rPr>
        <w:t xml:space="preserve">Those working </w:t>
      </w:r>
      <w:r w:rsidR="00D95EBA" w:rsidRPr="00BD7C72">
        <w:rPr>
          <w:rFonts w:ascii="Arial" w:eastAsia="Times New Roman" w:hAnsi="Arial" w:cs="Arial"/>
          <w:color w:val="000000" w:themeColor="text1"/>
          <w:lang w:eastAsia="en-GB"/>
        </w:rPr>
        <w:t>in Adult Support and Protection should:</w:t>
      </w:r>
    </w:p>
    <w:p w14:paraId="7A794C37" w14:textId="77777777" w:rsidR="00E738E7" w:rsidRPr="00BD7C72" w:rsidRDefault="00E738E7" w:rsidP="007839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D7C72">
        <w:rPr>
          <w:rFonts w:ascii="Arial" w:eastAsia="Times New Roman" w:hAnsi="Arial" w:cs="Arial"/>
          <w:color w:val="000000" w:themeColor="text1"/>
          <w:lang w:eastAsia="en-GB"/>
        </w:rPr>
        <w:t>Know how to keep a conversation going</w:t>
      </w:r>
    </w:p>
    <w:p w14:paraId="1A6DCD39" w14:textId="77777777" w:rsidR="00E738E7" w:rsidRPr="00BD7C72" w:rsidRDefault="00E738E7" w:rsidP="007839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D7C72">
        <w:rPr>
          <w:rFonts w:ascii="Arial" w:eastAsia="Times New Roman" w:hAnsi="Arial" w:cs="Arial"/>
          <w:color w:val="000000" w:themeColor="text1"/>
          <w:lang w:eastAsia="en-GB"/>
        </w:rPr>
        <w:t>Use listening skills to check understanding</w:t>
      </w:r>
    </w:p>
    <w:p w14:paraId="0166C546" w14:textId="77777777" w:rsidR="00E738E7" w:rsidRPr="00BD7C72" w:rsidRDefault="00E738E7" w:rsidP="007839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D7C72">
        <w:rPr>
          <w:rFonts w:ascii="Arial" w:eastAsia="Times New Roman" w:hAnsi="Arial" w:cs="Arial"/>
          <w:color w:val="000000" w:themeColor="text1"/>
          <w:lang w:eastAsia="en-GB"/>
        </w:rPr>
        <w:t>Be able to organise a conversation</w:t>
      </w:r>
    </w:p>
    <w:p w14:paraId="5EAABF6E" w14:textId="77777777" w:rsidR="00E738E7" w:rsidRPr="00BD7C72" w:rsidRDefault="00E738E7" w:rsidP="007839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D7C72">
        <w:rPr>
          <w:rFonts w:ascii="Arial" w:eastAsia="Times New Roman" w:hAnsi="Arial" w:cs="Arial"/>
          <w:color w:val="000000" w:themeColor="text1"/>
          <w:lang w:eastAsia="en-GB"/>
        </w:rPr>
        <w:t>Use non-verbal communication appropriately, such as facial expressions and body language</w:t>
      </w:r>
    </w:p>
    <w:p w14:paraId="577ED739" w14:textId="77777777" w:rsidR="00E738E7" w:rsidRPr="00BD7C72" w:rsidRDefault="00E738E7" w:rsidP="007839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D7C72">
        <w:rPr>
          <w:rFonts w:ascii="Arial" w:eastAsia="Times New Roman" w:hAnsi="Arial" w:cs="Arial"/>
          <w:color w:val="000000" w:themeColor="text1"/>
          <w:lang w:eastAsia="en-GB"/>
        </w:rPr>
        <w:t>Ask questions</w:t>
      </w:r>
    </w:p>
    <w:p w14:paraId="3813791A" w14:textId="77777777" w:rsidR="00E738E7" w:rsidRPr="00BD7C72" w:rsidRDefault="00E738E7" w:rsidP="007839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D7C72">
        <w:rPr>
          <w:rFonts w:ascii="Arial" w:eastAsia="Times New Roman" w:hAnsi="Arial" w:cs="Arial"/>
          <w:color w:val="000000" w:themeColor="text1"/>
          <w:lang w:eastAsia="en-GB"/>
        </w:rPr>
        <w:t>Understand cultural differences and how they might impact communication</w:t>
      </w:r>
    </w:p>
    <w:p w14:paraId="4FAD9AE3" w14:textId="5E7458AF" w:rsidR="00A826F9" w:rsidRPr="00BD7C72" w:rsidRDefault="00E738E7" w:rsidP="007839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D7C72">
        <w:rPr>
          <w:rFonts w:ascii="Arial" w:eastAsia="Times New Roman" w:hAnsi="Arial" w:cs="Arial"/>
          <w:color w:val="000000" w:themeColor="text1"/>
          <w:lang w:eastAsia="en-GB"/>
        </w:rPr>
        <w:t>Understand how disability and physical and mental health conditions might impact communication (Skills For Care, 2018)</w:t>
      </w:r>
    </w:p>
    <w:p w14:paraId="307B17A1" w14:textId="50FAB4E9" w:rsidR="00783969" w:rsidRPr="00BD7C72" w:rsidRDefault="00783969" w:rsidP="007839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eastAsia="en-GB"/>
        </w:rPr>
      </w:pPr>
      <w:r w:rsidRPr="00BD7C72">
        <w:rPr>
          <w:rFonts w:ascii="Arial" w:eastAsia="Times New Roman" w:hAnsi="Arial" w:cs="Arial"/>
          <w:b/>
          <w:bCs/>
          <w:color w:val="000000" w:themeColor="text1"/>
          <w:u w:val="single"/>
          <w:lang w:eastAsia="en-GB"/>
        </w:rPr>
        <w:t>Support Services</w:t>
      </w:r>
    </w:p>
    <w:p w14:paraId="7D989CFB" w14:textId="77777777" w:rsidR="00783969" w:rsidRPr="00BD7C72" w:rsidRDefault="00A826F9" w:rsidP="00783969">
      <w:p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>Section 6 of the</w:t>
      </w:r>
      <w:r w:rsidR="0032093D" w:rsidRPr="00BD7C72">
        <w:rPr>
          <w:rFonts w:ascii="Arial" w:hAnsi="Arial" w:cs="Arial"/>
          <w:color w:val="000000" w:themeColor="text1"/>
        </w:rPr>
        <w:t xml:space="preserve"> Adult Support and Protection (Scotland) Act 2007,</w:t>
      </w:r>
      <w:r w:rsidRPr="00BD7C72">
        <w:rPr>
          <w:rFonts w:ascii="Arial" w:hAnsi="Arial" w:cs="Arial"/>
          <w:color w:val="000000" w:themeColor="text1"/>
        </w:rPr>
        <w:t xml:space="preserve"> places a duty on the Council to consider the provision of appropriate services, including independent advocacy, if there is a need to intervene </w:t>
      </w:r>
      <w:proofErr w:type="gramStart"/>
      <w:r w:rsidRPr="00BD7C72">
        <w:rPr>
          <w:rFonts w:ascii="Arial" w:hAnsi="Arial" w:cs="Arial"/>
          <w:color w:val="000000" w:themeColor="text1"/>
        </w:rPr>
        <w:t>in order to</w:t>
      </w:r>
      <w:proofErr w:type="gramEnd"/>
      <w:r w:rsidRPr="00BD7C72">
        <w:rPr>
          <w:rFonts w:ascii="Arial" w:hAnsi="Arial" w:cs="Arial"/>
          <w:color w:val="000000" w:themeColor="text1"/>
        </w:rPr>
        <w:t xml:space="preserve"> protect an adult at risk of harm. </w:t>
      </w:r>
    </w:p>
    <w:p w14:paraId="521BE31C" w14:textId="6465AD65" w:rsidR="00A826F9" w:rsidRPr="00BD7C72" w:rsidRDefault="00A826F9" w:rsidP="00783969">
      <w:pPr>
        <w:jc w:val="both"/>
        <w:rPr>
          <w:rFonts w:ascii="Arial" w:hAnsi="Arial" w:cs="Arial"/>
          <w:color w:val="000000" w:themeColor="text1"/>
        </w:rPr>
      </w:pPr>
      <w:r w:rsidRPr="00BD7C72">
        <w:rPr>
          <w:rFonts w:ascii="Arial" w:hAnsi="Arial" w:cs="Arial"/>
          <w:color w:val="000000" w:themeColor="text1"/>
        </w:rPr>
        <w:t>Independent advocacy is provided by specialist organisations</w:t>
      </w:r>
      <w:r w:rsidR="00A13089">
        <w:rPr>
          <w:rFonts w:ascii="Arial" w:hAnsi="Arial" w:cs="Arial"/>
          <w:color w:val="000000" w:themeColor="text1"/>
        </w:rPr>
        <w:t>,</w:t>
      </w:r>
      <w:r w:rsidRPr="00BD7C72">
        <w:rPr>
          <w:rFonts w:ascii="Arial" w:hAnsi="Arial" w:cs="Arial"/>
          <w:color w:val="000000" w:themeColor="text1"/>
        </w:rPr>
        <w:t xml:space="preserve"> </w:t>
      </w:r>
      <w:r w:rsidR="00783969" w:rsidRPr="00BD7C72">
        <w:rPr>
          <w:rFonts w:ascii="Arial" w:hAnsi="Arial" w:cs="Arial"/>
          <w:color w:val="000000" w:themeColor="text1"/>
        </w:rPr>
        <w:t xml:space="preserve">and they </w:t>
      </w:r>
      <w:r w:rsidRPr="00BD7C72">
        <w:rPr>
          <w:rFonts w:ascii="Arial" w:hAnsi="Arial" w:cs="Arial"/>
          <w:color w:val="000000" w:themeColor="text1"/>
        </w:rPr>
        <w:t>aim</w:t>
      </w:r>
      <w:r w:rsidR="00783969" w:rsidRPr="00BD7C72">
        <w:rPr>
          <w:rFonts w:ascii="Arial" w:hAnsi="Arial" w:cs="Arial"/>
          <w:color w:val="000000" w:themeColor="text1"/>
        </w:rPr>
        <w:t xml:space="preserve"> </w:t>
      </w:r>
      <w:r w:rsidRPr="00BD7C72">
        <w:rPr>
          <w:rFonts w:ascii="Arial" w:hAnsi="Arial" w:cs="Arial"/>
          <w:color w:val="000000" w:themeColor="text1"/>
        </w:rPr>
        <w:t>to help people by supporting them to express their own needs</w:t>
      </w:r>
      <w:r w:rsidR="00783969" w:rsidRPr="00BD7C72">
        <w:rPr>
          <w:rFonts w:ascii="Arial" w:hAnsi="Arial" w:cs="Arial"/>
          <w:color w:val="000000" w:themeColor="text1"/>
        </w:rPr>
        <w:t>, wishes</w:t>
      </w:r>
      <w:r w:rsidRPr="00BD7C72">
        <w:rPr>
          <w:rFonts w:ascii="Arial" w:hAnsi="Arial" w:cs="Arial"/>
          <w:color w:val="000000" w:themeColor="text1"/>
        </w:rPr>
        <w:t xml:space="preserve"> and make informed decisions. </w:t>
      </w:r>
      <w:r w:rsidR="00783969" w:rsidRPr="00BD7C72">
        <w:rPr>
          <w:rFonts w:ascii="Arial" w:hAnsi="Arial" w:cs="Arial"/>
          <w:color w:val="000000" w:themeColor="text1"/>
        </w:rPr>
        <w:t xml:space="preserve">Advocacy </w:t>
      </w:r>
      <w:r w:rsidRPr="00BD7C72">
        <w:rPr>
          <w:rFonts w:ascii="Arial" w:hAnsi="Arial" w:cs="Arial"/>
          <w:color w:val="000000" w:themeColor="text1"/>
        </w:rPr>
        <w:t>support</w:t>
      </w:r>
      <w:r w:rsidR="00783969" w:rsidRPr="00BD7C72">
        <w:rPr>
          <w:rFonts w:ascii="Arial" w:hAnsi="Arial" w:cs="Arial"/>
          <w:color w:val="000000" w:themeColor="text1"/>
        </w:rPr>
        <w:t>s</w:t>
      </w:r>
      <w:r w:rsidRPr="00BD7C72">
        <w:rPr>
          <w:rFonts w:ascii="Arial" w:hAnsi="Arial" w:cs="Arial"/>
          <w:color w:val="000000" w:themeColor="text1"/>
        </w:rPr>
        <w:t xml:space="preserve"> adults to access information</w:t>
      </w:r>
      <w:r w:rsidR="00783969" w:rsidRPr="00BD7C72">
        <w:rPr>
          <w:rFonts w:ascii="Arial" w:hAnsi="Arial" w:cs="Arial"/>
          <w:color w:val="000000" w:themeColor="text1"/>
        </w:rPr>
        <w:t xml:space="preserve">, </w:t>
      </w:r>
      <w:r w:rsidRPr="00BD7C72">
        <w:rPr>
          <w:rFonts w:ascii="Arial" w:hAnsi="Arial" w:cs="Arial"/>
          <w:color w:val="000000" w:themeColor="text1"/>
        </w:rPr>
        <w:t>explore and understand the options available to them</w:t>
      </w:r>
      <w:r w:rsidR="00783969" w:rsidRPr="00BD7C72">
        <w:rPr>
          <w:rFonts w:ascii="Arial" w:hAnsi="Arial" w:cs="Arial"/>
          <w:color w:val="000000" w:themeColor="text1"/>
        </w:rPr>
        <w:t>,</w:t>
      </w:r>
      <w:r w:rsidRPr="00BD7C72">
        <w:rPr>
          <w:rFonts w:ascii="Arial" w:hAnsi="Arial" w:cs="Arial"/>
          <w:color w:val="000000" w:themeColor="text1"/>
        </w:rPr>
        <w:t xml:space="preserve"> and to participate more fully in the Adult Protection processes.</w:t>
      </w:r>
    </w:p>
    <w:p w14:paraId="00069B70" w14:textId="77777777" w:rsidR="00BD7C72" w:rsidRDefault="00BD7C72" w:rsidP="000909D3">
      <w:pPr>
        <w:rPr>
          <w:rFonts w:ascii="Arial" w:hAnsi="Arial" w:cs="Arial"/>
          <w:color w:val="000000" w:themeColor="text1"/>
        </w:rPr>
      </w:pPr>
    </w:p>
    <w:p w14:paraId="0A9CA031" w14:textId="77777777" w:rsidR="00291153" w:rsidRDefault="00291153" w:rsidP="000909D3">
      <w:pPr>
        <w:rPr>
          <w:rFonts w:ascii="Arial" w:hAnsi="Arial" w:cs="Arial"/>
          <w:color w:val="000000" w:themeColor="text1"/>
        </w:rPr>
      </w:pPr>
    </w:p>
    <w:p w14:paraId="40D64314" w14:textId="77777777" w:rsidR="00291153" w:rsidRDefault="00291153" w:rsidP="000909D3">
      <w:pPr>
        <w:rPr>
          <w:rFonts w:ascii="Arial" w:hAnsi="Arial" w:cs="Arial"/>
          <w:color w:val="000000" w:themeColor="text1"/>
        </w:rPr>
      </w:pPr>
    </w:p>
    <w:p w14:paraId="5F752513" w14:textId="77777777" w:rsidR="00291153" w:rsidRDefault="00291153" w:rsidP="000909D3">
      <w:pPr>
        <w:rPr>
          <w:rFonts w:ascii="Arial" w:hAnsi="Arial" w:cs="Arial"/>
          <w:color w:val="000000" w:themeColor="text1"/>
        </w:rPr>
      </w:pPr>
    </w:p>
    <w:p w14:paraId="4E9F812D" w14:textId="77777777" w:rsidR="00291153" w:rsidRDefault="00291153" w:rsidP="000909D3">
      <w:pPr>
        <w:rPr>
          <w:rFonts w:ascii="Arial" w:hAnsi="Arial" w:cs="Arial"/>
          <w:color w:val="000000" w:themeColor="text1"/>
        </w:rPr>
      </w:pPr>
    </w:p>
    <w:p w14:paraId="1826DBB2" w14:textId="77777777" w:rsidR="00A13089" w:rsidRDefault="00A13089" w:rsidP="000909D3">
      <w:pPr>
        <w:rPr>
          <w:rFonts w:ascii="Arial" w:hAnsi="Arial" w:cs="Arial"/>
          <w:color w:val="000000" w:themeColor="text1"/>
        </w:rPr>
      </w:pPr>
    </w:p>
    <w:p w14:paraId="5CB13FA9" w14:textId="77777777" w:rsidR="00A13089" w:rsidRDefault="00A13089" w:rsidP="000909D3">
      <w:pPr>
        <w:rPr>
          <w:rFonts w:ascii="Arial" w:hAnsi="Arial" w:cs="Arial"/>
          <w:color w:val="000000" w:themeColor="text1"/>
        </w:rPr>
      </w:pPr>
    </w:p>
    <w:p w14:paraId="19719F20" w14:textId="77777777" w:rsidR="00291153" w:rsidRDefault="00291153" w:rsidP="000909D3">
      <w:pPr>
        <w:rPr>
          <w:rFonts w:ascii="Arial" w:hAnsi="Arial" w:cs="Arial"/>
          <w:color w:val="000000" w:themeColor="text1"/>
        </w:rPr>
      </w:pPr>
    </w:p>
    <w:p w14:paraId="0905F7FA" w14:textId="349CD791" w:rsidR="00433E94" w:rsidRDefault="00083EC9" w:rsidP="000909D3">
      <w:pPr>
        <w:rPr>
          <w:b/>
          <w:bCs/>
          <w:sz w:val="24"/>
          <w:szCs w:val="24"/>
          <w:u w:val="single"/>
        </w:rPr>
      </w:pPr>
      <w:r w:rsidRPr="00083EC9">
        <w:rPr>
          <w:b/>
          <w:bCs/>
          <w:sz w:val="24"/>
          <w:szCs w:val="24"/>
          <w:u w:val="single"/>
        </w:rPr>
        <w:lastRenderedPageBreak/>
        <w:t>Appendix 1</w:t>
      </w:r>
    </w:p>
    <w:p w14:paraId="58F3DA1A" w14:textId="79B86603" w:rsidR="00433E94" w:rsidRPr="00433E94" w:rsidRDefault="00433E94" w:rsidP="00433E9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E56DB">
        <w:rPr>
          <w:rFonts w:ascii="Arial" w:hAnsi="Arial" w:cs="Arial"/>
          <w:b/>
          <w:bCs/>
          <w:sz w:val="28"/>
          <w:szCs w:val="28"/>
        </w:rPr>
        <w:t>Protection Plan AP3</w:t>
      </w:r>
    </w:p>
    <w:p w14:paraId="73A9FB46" w14:textId="322E68A4" w:rsidR="00433E94" w:rsidRDefault="00433E94" w:rsidP="00433E94">
      <w:pPr>
        <w:rPr>
          <w:rFonts w:ascii="Arial" w:hAnsi="Arial" w:cs="Arial"/>
        </w:rPr>
      </w:pPr>
      <w:r>
        <w:rPr>
          <w:rFonts w:ascii="Arial" w:hAnsi="Arial" w:cs="Arial"/>
        </w:rPr>
        <w:t>The Protection Plan should be distributed within two working days of an Adult Protection Case Conference.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2301"/>
        <w:gridCol w:w="976"/>
        <w:gridCol w:w="409"/>
        <w:gridCol w:w="12"/>
        <w:gridCol w:w="2856"/>
      </w:tblGrid>
      <w:tr w:rsidR="00433E94" w:rsidRPr="00B25453" w14:paraId="53AF9B38" w14:textId="77777777" w:rsidTr="008939D3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9975A" w14:textId="77777777" w:rsidR="00433E94" w:rsidRPr="004002F4" w:rsidRDefault="00433E94" w:rsidP="008939D3">
            <w:pPr>
              <w:widowControl w:val="0"/>
              <w:ind w:right="-2376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Date of P</w:t>
            </w:r>
            <w:r w:rsidRPr="00B25453">
              <w:rPr>
                <w:rFonts w:ascii="Arial" w:hAnsi="Arial" w:cs="Arial"/>
                <w:b/>
                <w:bCs/>
              </w:rPr>
              <w:t>rotection</w:t>
            </w:r>
            <w:r>
              <w:rPr>
                <w:rFonts w:ascii="Arial" w:hAnsi="Arial" w:cs="Arial"/>
                <w:b/>
                <w:bCs/>
              </w:rPr>
              <w:t xml:space="preserve"> Plan:  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03953" w14:textId="77777777" w:rsidR="00433E94" w:rsidRPr="00EC7643" w:rsidRDefault="00433E94" w:rsidP="008939D3">
            <w:pPr>
              <w:widowControl w:val="0"/>
              <w:tabs>
                <w:tab w:val="left" w:pos="77"/>
              </w:tabs>
              <w:ind w:right="4888"/>
              <w:rPr>
                <w:rFonts w:ascii="Arial" w:hAnsi="Arial" w:cs="Arial"/>
                <w:u w:val="single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3418FD" w14:textId="77777777" w:rsidR="00433E94" w:rsidRPr="00EC7643" w:rsidRDefault="00433E94" w:rsidP="008939D3">
            <w:pPr>
              <w:widowControl w:val="0"/>
              <w:tabs>
                <w:tab w:val="left" w:pos="77"/>
              </w:tabs>
              <w:ind w:right="4888"/>
              <w:rPr>
                <w:rFonts w:ascii="Arial" w:hAnsi="Arial" w:cs="Arial"/>
                <w:u w:val="single"/>
              </w:rPr>
            </w:pPr>
          </w:p>
        </w:tc>
      </w:tr>
      <w:tr w:rsidR="00433E94" w:rsidRPr="00B25453" w14:paraId="6802A567" w14:textId="77777777" w:rsidTr="008939D3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2902F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C21093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</w:tr>
      <w:tr w:rsidR="00433E94" w:rsidRPr="00B25453" w14:paraId="6DB3A1C6" w14:textId="77777777" w:rsidTr="008939D3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3DA1" w14:textId="77777777" w:rsidR="00433E94" w:rsidRPr="00B25453" w:rsidRDefault="00433E94" w:rsidP="008939D3">
            <w:pPr>
              <w:widowControl w:val="0"/>
              <w:spacing w:before="120"/>
              <w:rPr>
                <w:rFonts w:ascii="Arial" w:hAnsi="Arial" w:cs="Arial"/>
                <w:b/>
                <w:bCs/>
              </w:rPr>
            </w:pPr>
            <w:r w:rsidRPr="00B25453">
              <w:rPr>
                <w:rFonts w:ascii="Arial" w:hAnsi="Arial" w:cs="Arial"/>
                <w:b/>
                <w:bCs/>
              </w:rPr>
              <w:t xml:space="preserve">Personal details: Adult at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B25453">
              <w:rPr>
                <w:rFonts w:ascii="Arial" w:hAnsi="Arial" w:cs="Arial"/>
                <w:b/>
                <w:bCs/>
              </w:rPr>
              <w:t>isk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9921D4" w14:textId="77777777" w:rsidR="00433E94" w:rsidRPr="00B25453" w:rsidRDefault="00433E94" w:rsidP="008939D3">
            <w:pPr>
              <w:widowControl w:val="0"/>
              <w:spacing w:before="120"/>
              <w:rPr>
                <w:rFonts w:ascii="Arial" w:hAnsi="Arial" w:cs="Arial"/>
              </w:rPr>
            </w:pPr>
          </w:p>
        </w:tc>
      </w:tr>
      <w:tr w:rsidR="00433E94" w:rsidRPr="00B25453" w14:paraId="37CD0890" w14:textId="77777777" w:rsidTr="008939D3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F520804" w14:textId="77777777" w:rsidR="00433E94" w:rsidRPr="00B25453" w:rsidRDefault="00433E94" w:rsidP="008939D3">
            <w:pPr>
              <w:widowControl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B25453">
              <w:rPr>
                <w:rFonts w:ascii="Arial" w:hAnsi="Arial" w:cs="Arial"/>
              </w:rPr>
              <w:t>irst names: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A4843" w14:textId="77777777" w:rsidR="00433E94" w:rsidRPr="00B25453" w:rsidRDefault="00433E94" w:rsidP="008939D3">
            <w:pPr>
              <w:widowControl w:val="0"/>
              <w:spacing w:before="120"/>
              <w:ind w:right="-460"/>
              <w:rPr>
                <w:rFonts w:ascii="Arial" w:hAnsi="Arial" w:cs="Aria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82FEC5" w14:textId="77777777" w:rsidR="00433E94" w:rsidRPr="00B25453" w:rsidRDefault="00433E94" w:rsidP="008939D3">
            <w:pPr>
              <w:widowControl w:val="0"/>
              <w:tabs>
                <w:tab w:val="right" w:pos="441"/>
              </w:tabs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48988" w14:textId="77777777" w:rsidR="00433E94" w:rsidRPr="00B25453" w:rsidRDefault="00433E94" w:rsidP="008939D3">
            <w:pPr>
              <w:widowControl w:val="0"/>
              <w:spacing w:before="120"/>
              <w:rPr>
                <w:rFonts w:ascii="Arial" w:hAnsi="Arial" w:cs="Arial"/>
              </w:rPr>
            </w:pPr>
          </w:p>
        </w:tc>
      </w:tr>
      <w:tr w:rsidR="00433E94" w:rsidRPr="00B25453" w14:paraId="207C75F2" w14:textId="77777777" w:rsidTr="008939D3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FCE5434" w14:textId="77777777" w:rsidR="00433E94" w:rsidRPr="00B25453" w:rsidRDefault="00433E94" w:rsidP="008939D3">
            <w:pPr>
              <w:widowControl w:val="0"/>
              <w:spacing w:before="120"/>
              <w:rPr>
                <w:rFonts w:ascii="Arial" w:hAnsi="Arial" w:cs="Arial"/>
              </w:rPr>
            </w:pPr>
            <w:r w:rsidRPr="00B25453">
              <w:rPr>
                <w:rFonts w:ascii="Arial" w:hAnsi="Arial" w:cs="Arial"/>
              </w:rPr>
              <w:t>Date of birth: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12B34" w14:textId="77777777" w:rsidR="00433E94" w:rsidRPr="00204FAE" w:rsidRDefault="00433E94" w:rsidP="008939D3">
            <w:pPr>
              <w:widowControl w:val="0"/>
              <w:tabs>
                <w:tab w:val="left" w:pos="2727"/>
              </w:tabs>
              <w:spacing w:before="120"/>
              <w:ind w:right="-1074"/>
              <w:rPr>
                <w:rFonts w:ascii="Arial" w:hAnsi="Arial" w:cs="Arial"/>
                <w:u w:val="single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633B57" w14:textId="77777777" w:rsidR="00433E94" w:rsidRPr="00B25453" w:rsidRDefault="00433E94" w:rsidP="008939D3">
            <w:pPr>
              <w:widowControl w:val="0"/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83D18" w14:textId="77777777" w:rsidR="00433E94" w:rsidRPr="00B25453" w:rsidRDefault="00433E94" w:rsidP="008939D3">
            <w:pPr>
              <w:widowControl w:val="0"/>
              <w:spacing w:before="120"/>
              <w:rPr>
                <w:rFonts w:ascii="Arial" w:hAnsi="Arial" w:cs="Arial"/>
              </w:rPr>
            </w:pPr>
          </w:p>
        </w:tc>
      </w:tr>
      <w:tr w:rsidR="00433E94" w:rsidRPr="00B25453" w14:paraId="04A5891A" w14:textId="77777777" w:rsidTr="008939D3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C58F8A" w14:textId="77777777" w:rsidR="00433E94" w:rsidRPr="00B25453" w:rsidRDefault="00433E94" w:rsidP="008939D3">
            <w:pPr>
              <w:widowControl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Officer: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09E09" w14:textId="77777777" w:rsidR="00433E94" w:rsidRPr="00B25453" w:rsidRDefault="00433E94" w:rsidP="008939D3">
            <w:pPr>
              <w:widowControl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BB79B" w14:textId="77777777" w:rsidR="00433E94" w:rsidRPr="00B25453" w:rsidRDefault="00433E94" w:rsidP="008939D3">
            <w:pPr>
              <w:widowControl w:val="0"/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F845B" w14:textId="77777777" w:rsidR="00433E94" w:rsidRPr="00B25453" w:rsidRDefault="00433E94" w:rsidP="008939D3">
            <w:pPr>
              <w:widowControl w:val="0"/>
              <w:spacing w:before="120"/>
              <w:rPr>
                <w:rFonts w:ascii="Arial" w:hAnsi="Arial" w:cs="Arial"/>
              </w:rPr>
            </w:pPr>
          </w:p>
        </w:tc>
      </w:tr>
      <w:tr w:rsidR="00433E94" w:rsidRPr="00B25453" w14:paraId="24CBAC96" w14:textId="77777777" w:rsidTr="008939D3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D896F74" w14:textId="77777777" w:rsidR="00433E94" w:rsidRPr="00B25453" w:rsidRDefault="00433E94" w:rsidP="008939D3">
            <w:pPr>
              <w:widowControl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59A24" w14:textId="77777777" w:rsidR="00433E94" w:rsidRPr="00B25453" w:rsidRDefault="00433E94" w:rsidP="008939D3">
            <w:pPr>
              <w:widowControl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75196" w14:textId="77777777" w:rsidR="00433E94" w:rsidRPr="00B25453" w:rsidRDefault="00433E94" w:rsidP="008939D3">
            <w:pPr>
              <w:widowControl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1C0BB" w14:textId="77777777" w:rsidR="00433E94" w:rsidRPr="00B25453" w:rsidRDefault="00433E94" w:rsidP="008939D3">
            <w:pPr>
              <w:widowControl w:val="0"/>
              <w:spacing w:before="120"/>
              <w:rPr>
                <w:rFonts w:ascii="Arial" w:hAnsi="Arial" w:cs="Arial"/>
              </w:rPr>
            </w:pPr>
          </w:p>
        </w:tc>
      </w:tr>
      <w:tr w:rsidR="00433E94" w:rsidRPr="00B25453" w14:paraId="2BB270EC" w14:textId="77777777" w:rsidTr="008939D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4A8CAA3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5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72A861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77A2E5D9" w14:textId="77777777" w:rsidR="00433E94" w:rsidRDefault="00433E94" w:rsidP="00433E94">
      <w:pPr>
        <w:rPr>
          <w:rFonts w:ascii="Arial" w:hAnsi="Arial" w:cs="Arial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2780"/>
        <w:gridCol w:w="2123"/>
        <w:gridCol w:w="2129"/>
      </w:tblGrid>
      <w:tr w:rsidR="00433E94" w:rsidRPr="00B25453" w14:paraId="2F506755" w14:textId="77777777" w:rsidTr="008939D3">
        <w:tc>
          <w:tcPr>
            <w:tcW w:w="3174" w:type="dxa"/>
            <w:shd w:val="clear" w:color="auto" w:fill="E0E0E0"/>
          </w:tcPr>
          <w:p w14:paraId="3F58A70D" w14:textId="77777777" w:rsidR="00433E94" w:rsidRDefault="00433E94" w:rsidP="008939D3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Decisions</w:t>
            </w:r>
          </w:p>
          <w:p w14:paraId="470D62E2" w14:textId="77777777" w:rsidR="00433E94" w:rsidRPr="00B25453" w:rsidRDefault="00433E94" w:rsidP="008939D3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B25453">
              <w:rPr>
                <w:rFonts w:ascii="Arial" w:hAnsi="Arial" w:cs="Arial"/>
                <w:b/>
                <w:bCs/>
              </w:rPr>
              <w:t>(what)</w:t>
            </w:r>
          </w:p>
        </w:tc>
        <w:tc>
          <w:tcPr>
            <w:tcW w:w="2780" w:type="dxa"/>
            <w:shd w:val="clear" w:color="auto" w:fill="E0E0E0"/>
          </w:tcPr>
          <w:p w14:paraId="679744AD" w14:textId="77777777" w:rsidR="00433E94" w:rsidRPr="00B25453" w:rsidRDefault="00433E94" w:rsidP="008939D3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Desired outcomes</w:t>
            </w:r>
          </w:p>
          <w:p w14:paraId="3132931D" w14:textId="77777777" w:rsidR="00433E94" w:rsidRPr="00B25453" w:rsidRDefault="00433E94" w:rsidP="008939D3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(how</w:t>
            </w:r>
            <w:r w:rsidRPr="00B2545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123" w:type="dxa"/>
            <w:shd w:val="clear" w:color="auto" w:fill="E0E0E0"/>
          </w:tcPr>
          <w:p w14:paraId="7C429972" w14:textId="77777777" w:rsidR="00433E94" w:rsidRPr="00B25453" w:rsidRDefault="00433E94" w:rsidP="008939D3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Person/agency responsible</w:t>
            </w:r>
          </w:p>
          <w:p w14:paraId="2205A96B" w14:textId="77777777" w:rsidR="00433E94" w:rsidRPr="00B25453" w:rsidRDefault="00433E94" w:rsidP="008939D3">
            <w:pPr>
              <w:widowControl w:val="0"/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(who)</w:t>
            </w:r>
          </w:p>
        </w:tc>
        <w:tc>
          <w:tcPr>
            <w:tcW w:w="2129" w:type="dxa"/>
            <w:shd w:val="clear" w:color="auto" w:fill="E0E0E0"/>
          </w:tcPr>
          <w:p w14:paraId="4E414337" w14:textId="77777777" w:rsidR="00433E94" w:rsidRDefault="00433E94" w:rsidP="008939D3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Timescale</w:t>
            </w:r>
          </w:p>
          <w:p w14:paraId="38BC6A8D" w14:textId="77777777" w:rsidR="00433E94" w:rsidRPr="00B25453" w:rsidRDefault="00433E94" w:rsidP="008939D3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(when)</w:t>
            </w:r>
          </w:p>
        </w:tc>
      </w:tr>
      <w:tr w:rsidR="00433E94" w:rsidRPr="00B25453" w14:paraId="53BFB1F3" w14:textId="77777777" w:rsidTr="008939D3">
        <w:trPr>
          <w:trHeight w:val="454"/>
        </w:trPr>
        <w:tc>
          <w:tcPr>
            <w:tcW w:w="3174" w:type="dxa"/>
          </w:tcPr>
          <w:p w14:paraId="3A9905FD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780" w:type="dxa"/>
          </w:tcPr>
          <w:p w14:paraId="1B879A26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3C31521C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4B27DFC0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</w:tr>
      <w:tr w:rsidR="00433E94" w:rsidRPr="00B25453" w14:paraId="513EC666" w14:textId="77777777" w:rsidTr="008939D3">
        <w:trPr>
          <w:trHeight w:val="454"/>
        </w:trPr>
        <w:tc>
          <w:tcPr>
            <w:tcW w:w="3174" w:type="dxa"/>
          </w:tcPr>
          <w:p w14:paraId="7C1A9203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780" w:type="dxa"/>
          </w:tcPr>
          <w:p w14:paraId="22607C05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6A829A44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2F65035D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</w:tr>
      <w:tr w:rsidR="00433E94" w:rsidRPr="00B25453" w14:paraId="00C139A4" w14:textId="77777777" w:rsidTr="008939D3">
        <w:trPr>
          <w:trHeight w:val="454"/>
        </w:trPr>
        <w:tc>
          <w:tcPr>
            <w:tcW w:w="3174" w:type="dxa"/>
          </w:tcPr>
          <w:p w14:paraId="704E190F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780" w:type="dxa"/>
          </w:tcPr>
          <w:p w14:paraId="7F2444C3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2D6EF7D5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15267E1F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</w:tr>
      <w:tr w:rsidR="00433E94" w:rsidRPr="00B25453" w14:paraId="6ACFF78A" w14:textId="77777777" w:rsidTr="008939D3">
        <w:trPr>
          <w:trHeight w:val="454"/>
        </w:trPr>
        <w:tc>
          <w:tcPr>
            <w:tcW w:w="3174" w:type="dxa"/>
          </w:tcPr>
          <w:p w14:paraId="0FCCFBE8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780" w:type="dxa"/>
          </w:tcPr>
          <w:p w14:paraId="45E8B704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0BC20197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2CC3B3A8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</w:tr>
      <w:tr w:rsidR="00433E94" w:rsidRPr="00B25453" w14:paraId="4FB0AE56" w14:textId="77777777" w:rsidTr="008939D3">
        <w:trPr>
          <w:trHeight w:val="454"/>
        </w:trPr>
        <w:tc>
          <w:tcPr>
            <w:tcW w:w="3174" w:type="dxa"/>
          </w:tcPr>
          <w:p w14:paraId="47585C39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780" w:type="dxa"/>
          </w:tcPr>
          <w:p w14:paraId="23D6D08C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030B5C89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65E9A6CB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</w:tr>
      <w:tr w:rsidR="00433E94" w:rsidRPr="00B25453" w14:paraId="1FA852C1" w14:textId="77777777" w:rsidTr="008939D3">
        <w:trPr>
          <w:trHeight w:val="454"/>
        </w:trPr>
        <w:tc>
          <w:tcPr>
            <w:tcW w:w="3174" w:type="dxa"/>
          </w:tcPr>
          <w:p w14:paraId="481CFBFF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780" w:type="dxa"/>
          </w:tcPr>
          <w:p w14:paraId="1AFC4EEA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5C6C225A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3B6EAB24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77B8551" w14:textId="77777777" w:rsidR="00433E94" w:rsidRDefault="00433E94" w:rsidP="00433E94">
      <w:pPr>
        <w:rPr>
          <w:rFonts w:ascii="Arial" w:hAnsi="Arial" w:cs="Arial"/>
        </w:rPr>
      </w:pPr>
    </w:p>
    <w:p w14:paraId="78B627AC" w14:textId="77777777" w:rsidR="00433E94" w:rsidRPr="002E038E" w:rsidRDefault="00433E94" w:rsidP="00433E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2E038E">
        <w:rPr>
          <w:rFonts w:ascii="Arial" w:hAnsi="Arial" w:cs="Arial"/>
          <w:b/>
          <w:bCs/>
        </w:rPr>
        <w:t>Contingency plan</w:t>
      </w:r>
    </w:p>
    <w:p w14:paraId="7F1CFAF9" w14:textId="77777777" w:rsidR="00433E94" w:rsidRDefault="00433E94" w:rsidP="00433E94">
      <w:pPr>
        <w:rPr>
          <w:rFonts w:ascii="Arial" w:hAnsi="Arial" w:cs="Arial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6"/>
        <w:gridCol w:w="3858"/>
        <w:gridCol w:w="2722"/>
      </w:tblGrid>
      <w:tr w:rsidR="00433E94" w:rsidRPr="00B25453" w14:paraId="41AE7B3C" w14:textId="77777777" w:rsidTr="008939D3">
        <w:tc>
          <w:tcPr>
            <w:tcW w:w="3626" w:type="dxa"/>
            <w:tcBorders>
              <w:bottom w:val="single" w:sz="4" w:space="0" w:color="auto"/>
            </w:tcBorders>
            <w:shd w:val="clear" w:color="auto" w:fill="E0E0E0"/>
          </w:tcPr>
          <w:p w14:paraId="15D52EA7" w14:textId="77777777" w:rsidR="00433E94" w:rsidRPr="00B25453" w:rsidRDefault="00433E94" w:rsidP="008939D3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B25453">
              <w:rPr>
                <w:rFonts w:ascii="Arial" w:hAnsi="Arial" w:cs="Arial"/>
                <w:b/>
                <w:bCs/>
              </w:rPr>
              <w:t>Significant changes suggestive of additional risk/harm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shd w:val="clear" w:color="auto" w:fill="E0E0E0"/>
          </w:tcPr>
          <w:p w14:paraId="2E6B6A73" w14:textId="77777777" w:rsidR="00433E94" w:rsidRPr="00B25453" w:rsidRDefault="00433E94" w:rsidP="008939D3">
            <w:pPr>
              <w:widowControl w:val="0"/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B25453">
              <w:rPr>
                <w:rFonts w:ascii="Arial" w:hAnsi="Arial" w:cs="Arial"/>
                <w:b/>
                <w:bCs/>
              </w:rPr>
              <w:t>Action if significant change occurs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E0E0E0"/>
          </w:tcPr>
          <w:p w14:paraId="69DF96F1" w14:textId="77777777" w:rsidR="00433E94" w:rsidRPr="00B25453" w:rsidRDefault="00433E94" w:rsidP="008939D3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B25453">
              <w:rPr>
                <w:rFonts w:ascii="Arial" w:hAnsi="Arial" w:cs="Arial"/>
                <w:b/>
                <w:bCs/>
              </w:rPr>
              <w:t>Responsibility</w:t>
            </w:r>
          </w:p>
        </w:tc>
      </w:tr>
      <w:tr w:rsidR="00433E94" w:rsidRPr="00B25453" w14:paraId="347F001F" w14:textId="77777777" w:rsidTr="008939D3">
        <w:trPr>
          <w:trHeight w:val="454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</w:tcPr>
          <w:p w14:paraId="5DBA84E9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  <w:shd w:val="clear" w:color="auto" w:fill="auto"/>
          </w:tcPr>
          <w:p w14:paraId="5789CFDC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5CF8165E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433E94" w:rsidRPr="00B25453" w14:paraId="47E0FC8C" w14:textId="77777777" w:rsidTr="008939D3">
        <w:trPr>
          <w:trHeight w:val="454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</w:tcPr>
          <w:p w14:paraId="0734754A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  <w:shd w:val="clear" w:color="auto" w:fill="auto"/>
          </w:tcPr>
          <w:p w14:paraId="02844B10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28405A9D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433E94" w:rsidRPr="00B25453" w14:paraId="66F651DC" w14:textId="77777777" w:rsidTr="008939D3">
        <w:trPr>
          <w:trHeight w:val="454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</w:tcPr>
          <w:p w14:paraId="1D456A97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  <w:shd w:val="clear" w:color="auto" w:fill="auto"/>
          </w:tcPr>
          <w:p w14:paraId="0B16F3A2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0A8D39FD" w14:textId="77777777" w:rsidR="00433E94" w:rsidRPr="00B25453" w:rsidRDefault="00433E94" w:rsidP="008939D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330AB821" w14:textId="77777777" w:rsidR="00433E94" w:rsidRPr="00083EC9" w:rsidRDefault="00433E94" w:rsidP="000909D3">
      <w:pPr>
        <w:rPr>
          <w:b/>
          <w:bCs/>
          <w:sz w:val="24"/>
          <w:szCs w:val="24"/>
          <w:u w:val="single"/>
        </w:rPr>
      </w:pPr>
    </w:p>
    <w:sectPr w:rsidR="00433E94" w:rsidRPr="00083EC9" w:rsidSect="00083EC9">
      <w:pgSz w:w="11906" w:h="16838"/>
      <w:pgMar w:top="1440" w:right="1440" w:bottom="1440" w:left="144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35806"/>
    <w:multiLevelType w:val="hybridMultilevel"/>
    <w:tmpl w:val="6772D978"/>
    <w:lvl w:ilvl="0" w:tplc="8EAE3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05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088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C0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2F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0F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CF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E9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A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0A56B3"/>
    <w:multiLevelType w:val="hybridMultilevel"/>
    <w:tmpl w:val="0B422CEC"/>
    <w:lvl w:ilvl="0" w:tplc="4A227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C3C92"/>
    <w:multiLevelType w:val="multilevel"/>
    <w:tmpl w:val="EEB2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E2C4D"/>
    <w:multiLevelType w:val="multilevel"/>
    <w:tmpl w:val="725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8125A"/>
    <w:multiLevelType w:val="hybridMultilevel"/>
    <w:tmpl w:val="8C16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E50E8"/>
    <w:multiLevelType w:val="multilevel"/>
    <w:tmpl w:val="3D4C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287C87"/>
    <w:multiLevelType w:val="hybridMultilevel"/>
    <w:tmpl w:val="12AA441E"/>
    <w:lvl w:ilvl="0" w:tplc="C0003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E0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729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C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82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47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58A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87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A7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400C81"/>
    <w:multiLevelType w:val="multilevel"/>
    <w:tmpl w:val="AC4C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1919E5"/>
    <w:multiLevelType w:val="hybridMultilevel"/>
    <w:tmpl w:val="4E7A24AE"/>
    <w:lvl w:ilvl="0" w:tplc="912A7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87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07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C8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84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647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7CA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83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AC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FA0864"/>
    <w:multiLevelType w:val="hybridMultilevel"/>
    <w:tmpl w:val="0FCA10E8"/>
    <w:lvl w:ilvl="0" w:tplc="E0E8D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68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CB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63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AB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AB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4C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23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41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2D13DE7"/>
    <w:multiLevelType w:val="multilevel"/>
    <w:tmpl w:val="1BCA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3659D2"/>
    <w:multiLevelType w:val="hybridMultilevel"/>
    <w:tmpl w:val="3F064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008B2"/>
    <w:multiLevelType w:val="hybridMultilevel"/>
    <w:tmpl w:val="AF4218F6"/>
    <w:lvl w:ilvl="0" w:tplc="15908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F6A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0A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A1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8C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6C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2C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B41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C2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8C44F95"/>
    <w:multiLevelType w:val="hybridMultilevel"/>
    <w:tmpl w:val="7F321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E1A6C"/>
    <w:multiLevelType w:val="multilevel"/>
    <w:tmpl w:val="ADD6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338359">
    <w:abstractNumId w:val="1"/>
  </w:num>
  <w:num w:numId="2" w16cid:durableId="1303194570">
    <w:abstractNumId w:val="0"/>
  </w:num>
  <w:num w:numId="3" w16cid:durableId="222910793">
    <w:abstractNumId w:val="12"/>
  </w:num>
  <w:num w:numId="4" w16cid:durableId="592904393">
    <w:abstractNumId w:val="8"/>
  </w:num>
  <w:num w:numId="5" w16cid:durableId="2109498491">
    <w:abstractNumId w:val="9"/>
  </w:num>
  <w:num w:numId="6" w16cid:durableId="1051541927">
    <w:abstractNumId w:val="6"/>
  </w:num>
  <w:num w:numId="7" w16cid:durableId="216163993">
    <w:abstractNumId w:val="10"/>
  </w:num>
  <w:num w:numId="8" w16cid:durableId="470906616">
    <w:abstractNumId w:val="11"/>
  </w:num>
  <w:num w:numId="9" w16cid:durableId="790241834">
    <w:abstractNumId w:val="4"/>
  </w:num>
  <w:num w:numId="10" w16cid:durableId="1152986921">
    <w:abstractNumId w:val="13"/>
  </w:num>
  <w:num w:numId="11" w16cid:durableId="1499812539">
    <w:abstractNumId w:val="7"/>
  </w:num>
  <w:num w:numId="12" w16cid:durableId="2092774544">
    <w:abstractNumId w:val="3"/>
  </w:num>
  <w:num w:numId="13" w16cid:durableId="1449229859">
    <w:abstractNumId w:val="5"/>
  </w:num>
  <w:num w:numId="14" w16cid:durableId="1434980406">
    <w:abstractNumId w:val="2"/>
  </w:num>
  <w:num w:numId="15" w16cid:durableId="3141462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D3"/>
    <w:rsid w:val="00083EC9"/>
    <w:rsid w:val="000909D3"/>
    <w:rsid w:val="000C7A44"/>
    <w:rsid w:val="000D461C"/>
    <w:rsid w:val="0010705C"/>
    <w:rsid w:val="0019016C"/>
    <w:rsid w:val="001C0AD6"/>
    <w:rsid w:val="001E0961"/>
    <w:rsid w:val="001E1E17"/>
    <w:rsid w:val="002747A9"/>
    <w:rsid w:val="00291153"/>
    <w:rsid w:val="0032093D"/>
    <w:rsid w:val="00331A66"/>
    <w:rsid w:val="003D5359"/>
    <w:rsid w:val="003F60A3"/>
    <w:rsid w:val="004057CA"/>
    <w:rsid w:val="0043070F"/>
    <w:rsid w:val="00433E94"/>
    <w:rsid w:val="004B604C"/>
    <w:rsid w:val="004E0757"/>
    <w:rsid w:val="00536C15"/>
    <w:rsid w:val="00553A33"/>
    <w:rsid w:val="00733892"/>
    <w:rsid w:val="00764CD0"/>
    <w:rsid w:val="00766E25"/>
    <w:rsid w:val="00783969"/>
    <w:rsid w:val="0079188D"/>
    <w:rsid w:val="00876721"/>
    <w:rsid w:val="008A1D94"/>
    <w:rsid w:val="00910DB9"/>
    <w:rsid w:val="00916954"/>
    <w:rsid w:val="009A0FD6"/>
    <w:rsid w:val="00A13089"/>
    <w:rsid w:val="00A40590"/>
    <w:rsid w:val="00A72A4B"/>
    <w:rsid w:val="00A826F9"/>
    <w:rsid w:val="00B12D27"/>
    <w:rsid w:val="00B632A8"/>
    <w:rsid w:val="00BD7C72"/>
    <w:rsid w:val="00C612BC"/>
    <w:rsid w:val="00C847BA"/>
    <w:rsid w:val="00D512E1"/>
    <w:rsid w:val="00D546FF"/>
    <w:rsid w:val="00D95EBA"/>
    <w:rsid w:val="00DD5D42"/>
    <w:rsid w:val="00E738E7"/>
    <w:rsid w:val="00E76605"/>
    <w:rsid w:val="00EB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EF93"/>
  <w15:chartTrackingRefBased/>
  <w15:docId w15:val="{2B3FDFA1-BCBE-48A0-B756-62CD952E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A1D94"/>
    <w:rPr>
      <w:color w:val="0000FF"/>
      <w:u w:val="single"/>
    </w:rPr>
  </w:style>
  <w:style w:type="table" w:styleId="TableGrid">
    <w:name w:val="Table Grid"/>
    <w:basedOn w:val="TableNormal"/>
    <w:uiPriority w:val="39"/>
    <w:rsid w:val="00B6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83E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3EC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4059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07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5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7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9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2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8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asp/2007/10/cont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ultprotectionsouthlanarkshire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8B6F6.EEDBC56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gov.scot/publications/adult-support-protection-scotland-act-2007-code-practice-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scot/publications/adult-support-protection-scotland-act-2007-code-practice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1842</Words>
  <Characters>10501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Alison</dc:creator>
  <cp:keywords/>
  <dc:description/>
  <cp:lastModifiedBy>Burns, Alison</cp:lastModifiedBy>
  <cp:revision>2</cp:revision>
  <dcterms:created xsi:type="dcterms:W3CDTF">2024-12-12T13:16:00Z</dcterms:created>
  <dcterms:modified xsi:type="dcterms:W3CDTF">2024-12-12T13:16:00Z</dcterms:modified>
</cp:coreProperties>
</file>